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65AC9" w14:textId="77777777" w:rsidR="00BD7420" w:rsidRDefault="00BD7420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25A5AD42" w14:textId="77777777" w:rsidR="00BD7420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Manizales, ___________</w:t>
      </w:r>
    </w:p>
    <w:p w14:paraId="5FF48774" w14:textId="77777777" w:rsidR="00BD7420" w:rsidRDefault="00BD7420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42FD5C1C" w14:textId="77777777" w:rsidR="00BD7420" w:rsidRDefault="00BD7420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0CC37864" w14:textId="77777777" w:rsidR="00BD7420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Estudiante</w:t>
      </w:r>
    </w:p>
    <w:p w14:paraId="41EE3C1E" w14:textId="77777777" w:rsidR="00BD7420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(Escribir el nombre del estudiante en mayúscula sostenida)</w:t>
      </w:r>
    </w:p>
    <w:p w14:paraId="6B850FAE" w14:textId="77777777" w:rsidR="00BD7420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(Número de identificación)</w:t>
      </w:r>
    </w:p>
    <w:p w14:paraId="6AB77CAC" w14:textId="77777777" w:rsidR="00BD7420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Programa _________________</w:t>
      </w:r>
    </w:p>
    <w:p w14:paraId="1C36B312" w14:textId="77777777" w:rsidR="00BD7420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Universidad Católica de Manizales – UCM </w:t>
      </w:r>
    </w:p>
    <w:p w14:paraId="7980722F" w14:textId="77777777" w:rsidR="00BD7420" w:rsidRDefault="00BD7420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4FA95B33" w14:textId="77777777" w:rsidR="00BD7420" w:rsidRDefault="00BD7420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2F1CA38C" w14:textId="77777777" w:rsidR="00BD7420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Asunto: Respuesta solicitud de validación por suficiencia </w:t>
      </w:r>
    </w:p>
    <w:p w14:paraId="78BAFA89" w14:textId="77777777" w:rsidR="00BD7420" w:rsidRDefault="00BD7420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382A6151" w14:textId="77777777" w:rsidR="00BD7420" w:rsidRDefault="00BD7420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4CE42A88" w14:textId="77777777" w:rsidR="00BD7420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Cordial saludo:</w:t>
      </w:r>
    </w:p>
    <w:p w14:paraId="68406F88" w14:textId="77777777" w:rsidR="00BD7420" w:rsidRDefault="00BD7420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0B03A33B" w14:textId="77777777" w:rsidR="00BD7420" w:rsidRDefault="00000000">
      <w:pPr>
        <w:spacing w:after="0" w:line="276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La Dirección de programa (o instancia equivalente) analizó su solicitud de validación por suficiencia para el componente académico _______________ del programa de ____________ y nos permitimos informarle que dicha solicitud ha sido (aprobada o negada). </w:t>
      </w:r>
      <w:proofErr w:type="gramStart"/>
      <w:r>
        <w:rPr>
          <w:rFonts w:ascii="Century Gothic" w:eastAsia="Century Gothic" w:hAnsi="Century Gothic" w:cs="Century Gothic"/>
        </w:rPr>
        <w:t>De acuerdo a</w:t>
      </w:r>
      <w:proofErr w:type="gramEnd"/>
      <w:r>
        <w:rPr>
          <w:rFonts w:ascii="Century Gothic" w:eastAsia="Century Gothic" w:hAnsi="Century Gothic" w:cs="Century Gothic"/>
        </w:rPr>
        <w:t xml:space="preserve"> lo contemplado en el Reglamento Académico Estudiantes de Pregrado, Especialización y Maestría:</w:t>
      </w:r>
    </w:p>
    <w:p w14:paraId="2599B459" w14:textId="77777777" w:rsidR="00BD7420" w:rsidRDefault="00BD7420">
      <w:pPr>
        <w:spacing w:after="0" w:line="276" w:lineRule="auto"/>
        <w:jc w:val="both"/>
        <w:rPr>
          <w:rFonts w:ascii="Century Gothic" w:eastAsia="Century Gothic" w:hAnsi="Century Gothic" w:cs="Century Gothic"/>
          <w:b/>
        </w:rPr>
      </w:pPr>
    </w:p>
    <w:p w14:paraId="14A890BA" w14:textId="77777777" w:rsidR="00BD7420" w:rsidRDefault="00000000">
      <w:pPr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Artículo 47.</w:t>
      </w:r>
      <w:r>
        <w:rPr>
          <w:rFonts w:ascii="Century Gothic" w:eastAsia="Century Gothic" w:hAnsi="Century Gothic" w:cs="Century Gothic"/>
        </w:rPr>
        <w:t xml:space="preserve"> Modificado por el artículo 29 del Acuerdo </w:t>
      </w:r>
      <w:proofErr w:type="spellStart"/>
      <w:r>
        <w:rPr>
          <w:rFonts w:ascii="Century Gothic" w:eastAsia="Century Gothic" w:hAnsi="Century Gothic" w:cs="Century Gothic"/>
        </w:rPr>
        <w:t>N°</w:t>
      </w:r>
      <w:proofErr w:type="spellEnd"/>
      <w:r>
        <w:rPr>
          <w:rFonts w:ascii="Century Gothic" w:eastAsia="Century Gothic" w:hAnsi="Century Gothic" w:cs="Century Gothic"/>
        </w:rPr>
        <w:t xml:space="preserve"> 48 del 25 de marzo del 2021. Pruebas de validación de saberes por suficiencia. Cuando el estudiante considere que cuenta con los conocimientos y competencias requeridas para aprobar un componente teórico, la dirección de programa académico asignará un jurado integrado por dos profesores expertos con las competencias, para diseñar, aplicar y evaluar las pruebas de validación por suficiencia de un saber específico, las cuales deben incluir la totalidad de contenidos y actividades académicas del Proyecto de Componente Académico (PCA), UDPROCO o Syllabus. </w:t>
      </w:r>
    </w:p>
    <w:p w14:paraId="21C4F39B" w14:textId="77777777" w:rsidR="00BD7420" w:rsidRDefault="00000000">
      <w:pPr>
        <w:jc w:val="both"/>
        <w:rPr>
          <w:rFonts w:ascii="Century Gothic" w:eastAsia="Century Gothic" w:hAnsi="Century Gothic" w:cs="Century Gothic"/>
        </w:rPr>
      </w:pPr>
      <w:r w:rsidRPr="00F25748">
        <w:rPr>
          <w:rFonts w:ascii="Century Gothic" w:eastAsia="Century Gothic" w:hAnsi="Century Gothic" w:cs="Century Gothic"/>
          <w:b/>
          <w:bCs/>
        </w:rPr>
        <w:t>Parágrafo primero.</w:t>
      </w:r>
      <w:r>
        <w:rPr>
          <w:rFonts w:ascii="Century Gothic" w:eastAsia="Century Gothic" w:hAnsi="Century Gothic" w:cs="Century Gothic"/>
        </w:rPr>
        <w:t xml:space="preserve"> La validación por suficiencia exige la aplicación de diferentes pruebas para verificar las competencias de acuerdo con las finalidades formativas del componente académico.</w:t>
      </w:r>
    </w:p>
    <w:p w14:paraId="1BC25874" w14:textId="77777777" w:rsidR="00BD7420" w:rsidRDefault="00000000">
      <w:pPr>
        <w:jc w:val="both"/>
        <w:rPr>
          <w:rFonts w:ascii="Century Gothic" w:eastAsia="Century Gothic" w:hAnsi="Century Gothic" w:cs="Century Gothic"/>
        </w:rPr>
      </w:pPr>
      <w:r w:rsidRPr="00F25748">
        <w:rPr>
          <w:rFonts w:ascii="Century Gothic" w:eastAsia="Century Gothic" w:hAnsi="Century Gothic" w:cs="Century Gothic"/>
          <w:b/>
          <w:bCs/>
        </w:rPr>
        <w:t>Parágrafo segundo.</w:t>
      </w:r>
      <w:r>
        <w:rPr>
          <w:rFonts w:ascii="Century Gothic" w:eastAsia="Century Gothic" w:hAnsi="Century Gothic" w:cs="Century Gothic"/>
        </w:rPr>
        <w:t xml:space="preserve"> La aprobación de la validación de un saber por suficiencia se logra con una calificación global igual o superior a </w:t>
      </w:r>
      <w:proofErr w:type="gramStart"/>
      <w:r>
        <w:rPr>
          <w:rFonts w:ascii="Century Gothic" w:eastAsia="Century Gothic" w:hAnsi="Century Gothic" w:cs="Century Gothic"/>
        </w:rPr>
        <w:t>cuatro punto</w:t>
      </w:r>
      <w:proofErr w:type="gramEnd"/>
      <w:r>
        <w:rPr>
          <w:rFonts w:ascii="Century Gothic" w:eastAsia="Century Gothic" w:hAnsi="Century Gothic" w:cs="Century Gothic"/>
        </w:rPr>
        <w:t xml:space="preserve"> cero (4.0). Si la calificación es inferior, se considera reprobada y deberá cursar el componente </w:t>
      </w:r>
      <w:r>
        <w:rPr>
          <w:rFonts w:ascii="Century Gothic" w:eastAsia="Century Gothic" w:hAnsi="Century Gothic" w:cs="Century Gothic"/>
        </w:rPr>
        <w:lastRenderedPageBreak/>
        <w:t>académico, en este caso la nota no se reportará al Sistema de Información Académica.</w:t>
      </w:r>
    </w:p>
    <w:p w14:paraId="09C81723" w14:textId="77777777" w:rsidR="00BD7420" w:rsidRDefault="00000000">
      <w:pPr>
        <w:jc w:val="both"/>
        <w:rPr>
          <w:rFonts w:ascii="Century Gothic" w:eastAsia="Century Gothic" w:hAnsi="Century Gothic" w:cs="Century Gothic"/>
        </w:rPr>
      </w:pPr>
      <w:r w:rsidRPr="00F25748">
        <w:rPr>
          <w:rFonts w:ascii="Century Gothic" w:eastAsia="Century Gothic" w:hAnsi="Century Gothic" w:cs="Century Gothic"/>
          <w:b/>
          <w:bCs/>
        </w:rPr>
        <w:t>Parágrafo tercero.</w:t>
      </w:r>
      <w:r>
        <w:rPr>
          <w:rFonts w:ascii="Century Gothic" w:eastAsia="Century Gothic" w:hAnsi="Century Gothic" w:cs="Century Gothic"/>
        </w:rPr>
        <w:t xml:space="preserve"> La dirección del programa reporta la nota de validación aprobada a la Unidad de Admisiones y Registro Académico para registro en la hoja de vida académica del estudiante.</w:t>
      </w:r>
    </w:p>
    <w:p w14:paraId="5C2C47A5" w14:textId="77777777" w:rsidR="00BD7420" w:rsidRDefault="00000000">
      <w:pPr>
        <w:jc w:val="both"/>
        <w:rPr>
          <w:rFonts w:ascii="Century Gothic" w:eastAsia="Century Gothic" w:hAnsi="Century Gothic" w:cs="Century Gothic"/>
        </w:rPr>
      </w:pPr>
      <w:r w:rsidRPr="00F25748">
        <w:rPr>
          <w:rFonts w:ascii="Century Gothic" w:eastAsia="Century Gothic" w:hAnsi="Century Gothic" w:cs="Century Gothic"/>
          <w:b/>
          <w:bCs/>
        </w:rPr>
        <w:t>Parágrafo cuarto.</w:t>
      </w:r>
      <w:r>
        <w:rPr>
          <w:rFonts w:ascii="Century Gothic" w:eastAsia="Century Gothic" w:hAnsi="Century Gothic" w:cs="Century Gothic"/>
        </w:rPr>
        <w:t xml:space="preserve"> La prueba de validación de saberes por suficiencia debe ser solicitada mínimo con una semana de anticipación al inicio de actividades académicas. </w:t>
      </w:r>
    </w:p>
    <w:p w14:paraId="29C56C0B" w14:textId="77777777" w:rsidR="00BD7420" w:rsidRDefault="00000000">
      <w:pPr>
        <w:jc w:val="both"/>
        <w:rPr>
          <w:rFonts w:ascii="Century Gothic" w:eastAsia="Century Gothic" w:hAnsi="Century Gothic" w:cs="Century Gothic"/>
        </w:rPr>
      </w:pPr>
      <w:r w:rsidRPr="00F25748">
        <w:rPr>
          <w:rFonts w:ascii="Century Gothic" w:eastAsia="Century Gothic" w:hAnsi="Century Gothic" w:cs="Century Gothic"/>
          <w:b/>
          <w:bCs/>
        </w:rPr>
        <w:t>Parágrafo quinto</w:t>
      </w:r>
      <w:r>
        <w:rPr>
          <w:rFonts w:ascii="Century Gothic" w:eastAsia="Century Gothic" w:hAnsi="Century Gothic" w:cs="Century Gothic"/>
        </w:rPr>
        <w:t xml:space="preserve">. La prueba de validación de saberes por suficiencia no es aplicable a asignaturas que contemplen prácticas en el sector externo, en laboratorios o talleres, a modalidades de grado, ni a componentes de Identidad UCM, con excepción de lo establecido en el parágrafo octavo del presente artículo. </w:t>
      </w:r>
    </w:p>
    <w:p w14:paraId="409C524C" w14:textId="77777777" w:rsidR="007F32B6" w:rsidRDefault="00000000">
      <w:pPr>
        <w:jc w:val="both"/>
        <w:rPr>
          <w:rFonts w:ascii="Century Gothic" w:eastAsia="Century Gothic" w:hAnsi="Century Gothic" w:cs="Century Gothic"/>
        </w:rPr>
      </w:pPr>
      <w:r w:rsidRPr="00F25748">
        <w:rPr>
          <w:rFonts w:ascii="Century Gothic" w:eastAsia="Century Gothic" w:hAnsi="Century Gothic" w:cs="Century Gothic"/>
          <w:b/>
          <w:bCs/>
        </w:rPr>
        <w:t>Parágrafo sexto.</w:t>
      </w:r>
      <w:r>
        <w:rPr>
          <w:rFonts w:ascii="Century Gothic" w:eastAsia="Century Gothic" w:hAnsi="Century Gothic" w:cs="Century Gothic"/>
        </w:rPr>
        <w:t xml:space="preserve"> La prueba de validación de saberes por suficiencia no tiene segundo calificador.</w:t>
      </w:r>
    </w:p>
    <w:p w14:paraId="15CEB971" w14:textId="480E0FD7" w:rsidR="00BD7420" w:rsidRDefault="00000000">
      <w:pPr>
        <w:jc w:val="both"/>
        <w:rPr>
          <w:rFonts w:ascii="Century Gothic" w:eastAsia="Century Gothic" w:hAnsi="Century Gothic" w:cs="Century Gothic"/>
        </w:rPr>
      </w:pPr>
      <w:r w:rsidRPr="00F25748">
        <w:rPr>
          <w:rFonts w:ascii="Century Gothic" w:eastAsia="Century Gothic" w:hAnsi="Century Gothic" w:cs="Century Gothic"/>
          <w:b/>
          <w:bCs/>
        </w:rPr>
        <w:t>Parágrafo séptimo</w:t>
      </w:r>
      <w:r>
        <w:rPr>
          <w:rFonts w:ascii="Century Gothic" w:eastAsia="Century Gothic" w:hAnsi="Century Gothic" w:cs="Century Gothic"/>
        </w:rPr>
        <w:t xml:space="preserve">. Solo se podrá hacer una solicitud de saberes por suficiencia por componente académico. </w:t>
      </w:r>
    </w:p>
    <w:p w14:paraId="36ACD68E" w14:textId="77777777" w:rsidR="00BD7420" w:rsidRDefault="00000000">
      <w:pPr>
        <w:jc w:val="both"/>
        <w:rPr>
          <w:rFonts w:ascii="Century Gothic" w:eastAsia="Century Gothic" w:hAnsi="Century Gothic" w:cs="Century Gothic"/>
        </w:rPr>
      </w:pPr>
      <w:r w:rsidRPr="00F25748">
        <w:rPr>
          <w:rFonts w:ascii="Century Gothic" w:eastAsia="Century Gothic" w:hAnsi="Century Gothic" w:cs="Century Gothic"/>
          <w:b/>
          <w:bCs/>
        </w:rPr>
        <w:t>Parágrafo octavo.</w:t>
      </w:r>
      <w:r>
        <w:rPr>
          <w:rFonts w:ascii="Century Gothic" w:eastAsia="Century Gothic" w:hAnsi="Century Gothic" w:cs="Century Gothic"/>
        </w:rPr>
        <w:t xml:space="preserve"> Las Hermanas de la Caridad Dominicas de la Presentación de la Santísima Virgen que cursen programas de pregrado o posgrado podrán validar por suficiencia los componentes académicos de Identidad UCM, bajo el cumplimiento de los requisitos establecidos en el presente artículo.</w:t>
      </w:r>
    </w:p>
    <w:p w14:paraId="1FAFC966" w14:textId="77777777" w:rsidR="00BD7420" w:rsidRDefault="00000000">
      <w:pPr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Atentamente,</w:t>
      </w:r>
    </w:p>
    <w:p w14:paraId="35CE104B" w14:textId="77777777" w:rsidR="00BD7420" w:rsidRDefault="00BD7420">
      <w:pPr>
        <w:jc w:val="both"/>
        <w:rPr>
          <w:rFonts w:ascii="Century Gothic" w:eastAsia="Century Gothic" w:hAnsi="Century Gothic" w:cs="Century Gothic"/>
        </w:rPr>
      </w:pPr>
    </w:p>
    <w:p w14:paraId="3D53D69A" w14:textId="77777777" w:rsidR="00BD7420" w:rsidRDefault="00000000">
      <w:pPr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DECANO(A)</w:t>
      </w:r>
    </w:p>
    <w:tbl>
      <w:tblPr>
        <w:tblStyle w:val="a"/>
        <w:tblW w:w="10489" w:type="dxa"/>
        <w:tblInd w:w="-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3"/>
        <w:gridCol w:w="3402"/>
        <w:gridCol w:w="1423"/>
        <w:gridCol w:w="2551"/>
      </w:tblGrid>
      <w:tr w:rsidR="00BD7420" w14:paraId="30CF986C" w14:textId="77777777" w:rsidTr="007F32B6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5CA51D" w14:textId="77777777" w:rsidR="00BD7420" w:rsidRDefault="00000000">
            <w:pPr>
              <w:spacing w:after="200"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Elaboró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373B35" w14:textId="77777777" w:rsidR="00BD7420" w:rsidRDefault="00000000">
            <w:pPr>
              <w:spacing w:after="200"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Revisó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E7026C" w14:textId="77777777" w:rsidR="00BD7420" w:rsidRDefault="00000000">
            <w:pPr>
              <w:spacing w:after="200"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Aprobó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54BC7B" w14:textId="77777777" w:rsidR="00BD7420" w:rsidRDefault="00000000">
            <w:pPr>
              <w:spacing w:after="200"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Fecha de vigencia</w:t>
            </w:r>
          </w:p>
        </w:tc>
      </w:tr>
      <w:tr w:rsidR="00BD7420" w14:paraId="02666138" w14:textId="77777777" w:rsidTr="007F32B6">
        <w:trPr>
          <w:trHeight w:val="777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723A1" w14:textId="77777777" w:rsidR="00BD7420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Unidad de Admisiones y Registro Académico</w:t>
            </w:r>
          </w:p>
          <w:p w14:paraId="3DBE9A66" w14:textId="77777777" w:rsidR="00BD7420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Docencia y Formación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1CC3" w14:textId="77777777" w:rsidR="00BD7420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Vicerrectoría Académica</w:t>
            </w:r>
          </w:p>
          <w:p w14:paraId="3AFA3949" w14:textId="77777777" w:rsidR="00BD7420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Decanos </w:t>
            </w:r>
          </w:p>
          <w:p w14:paraId="2C747432" w14:textId="77777777" w:rsidR="00BD7420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Directores de programas académicos presenciales y a distancia </w:t>
            </w:r>
          </w:p>
          <w:p w14:paraId="0A9A715E" w14:textId="77777777" w:rsidR="00BD7420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Directores de unidades académicas </w:t>
            </w:r>
          </w:p>
          <w:p w14:paraId="61FBD666" w14:textId="77777777" w:rsidR="00BD7420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Aseguramiento de Calidad</w:t>
            </w:r>
          </w:p>
          <w:p w14:paraId="155CEA30" w14:textId="77777777" w:rsidR="00BD7420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Planeación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0F2D4" w14:textId="77777777" w:rsidR="00BD7420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Rectoría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07C1E" w14:textId="77777777" w:rsidR="00BD7420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Septiembre de 2022</w:t>
            </w:r>
          </w:p>
        </w:tc>
      </w:tr>
    </w:tbl>
    <w:p w14:paraId="2F005B62" w14:textId="77777777" w:rsidR="00004712" w:rsidRDefault="00004712">
      <w:pPr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sectPr w:rsidR="000047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EA92B" w14:textId="77777777" w:rsidR="003A778A" w:rsidRDefault="003A778A">
      <w:pPr>
        <w:spacing w:after="0" w:line="240" w:lineRule="auto"/>
      </w:pPr>
      <w:r>
        <w:separator/>
      </w:r>
    </w:p>
  </w:endnote>
  <w:endnote w:type="continuationSeparator" w:id="0">
    <w:p w14:paraId="09812AF1" w14:textId="77777777" w:rsidR="003A778A" w:rsidRDefault="003A7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Aleo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DD1E3" w14:textId="77777777" w:rsidR="00BD7420" w:rsidRDefault="00BD742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A39C5" w14:textId="77777777" w:rsidR="00BD7420" w:rsidRDefault="00BD742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D16F9" w14:textId="77777777" w:rsidR="00BD7420" w:rsidRDefault="00BD742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0D394" w14:textId="77777777" w:rsidR="003A778A" w:rsidRDefault="003A778A">
      <w:pPr>
        <w:spacing w:after="0" w:line="240" w:lineRule="auto"/>
      </w:pPr>
      <w:r>
        <w:separator/>
      </w:r>
    </w:p>
  </w:footnote>
  <w:footnote w:type="continuationSeparator" w:id="0">
    <w:p w14:paraId="7243F743" w14:textId="77777777" w:rsidR="003A778A" w:rsidRDefault="003A7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5F347" w14:textId="77777777" w:rsidR="00BD7420" w:rsidRDefault="00BD742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452BB" w14:textId="77777777" w:rsidR="00BD7420" w:rsidRDefault="00BD742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Century Gothic" w:eastAsia="Century Gothic" w:hAnsi="Century Gothic" w:cs="Century Gothic"/>
        <w:sz w:val="20"/>
        <w:szCs w:val="20"/>
      </w:rPr>
    </w:pPr>
  </w:p>
  <w:tbl>
    <w:tblPr>
      <w:tblStyle w:val="a1"/>
      <w:tblW w:w="9923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269"/>
      <w:gridCol w:w="4677"/>
      <w:gridCol w:w="1134"/>
      <w:gridCol w:w="1843"/>
    </w:tblGrid>
    <w:tr w:rsidR="00BD7420" w14:paraId="79E0572B" w14:textId="77777777">
      <w:trPr>
        <w:trHeight w:val="423"/>
        <w:jc w:val="center"/>
      </w:trPr>
      <w:tc>
        <w:tcPr>
          <w:tcW w:w="2269" w:type="dxa"/>
          <w:vMerge w:val="restart"/>
          <w:vAlign w:val="center"/>
        </w:tcPr>
        <w:p w14:paraId="79C6AF77" w14:textId="77777777" w:rsidR="00BD742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77D09506" wp14:editId="17F20E47">
                <wp:extent cx="1303655" cy="532765"/>
                <wp:effectExtent l="0" t="0" r="0" b="0"/>
                <wp:docPr id="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655" cy="5327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shd w:val="clear" w:color="auto" w:fill="CCCCCC"/>
          <w:vAlign w:val="center"/>
        </w:tcPr>
        <w:p w14:paraId="564658C6" w14:textId="77777777" w:rsidR="00BD742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 xml:space="preserve">PROCESO DE DOCENCIA </w:t>
          </w:r>
        </w:p>
      </w:tc>
      <w:tc>
        <w:tcPr>
          <w:tcW w:w="1134" w:type="dxa"/>
          <w:vAlign w:val="center"/>
        </w:tcPr>
        <w:p w14:paraId="63C8772C" w14:textId="77777777" w:rsidR="00BD742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</w:t>
          </w:r>
        </w:p>
      </w:tc>
      <w:tc>
        <w:tcPr>
          <w:tcW w:w="1843" w:type="dxa"/>
          <w:vAlign w:val="center"/>
        </w:tcPr>
        <w:p w14:paraId="1C90CB9F" w14:textId="77777777" w:rsidR="00BD742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DOC – F – 16</w:t>
          </w:r>
        </w:p>
      </w:tc>
    </w:tr>
    <w:tr w:rsidR="00BD7420" w14:paraId="0A4ED856" w14:textId="77777777">
      <w:trPr>
        <w:trHeight w:val="415"/>
        <w:jc w:val="center"/>
      </w:trPr>
      <w:tc>
        <w:tcPr>
          <w:tcW w:w="2269" w:type="dxa"/>
          <w:vMerge/>
          <w:vAlign w:val="center"/>
        </w:tcPr>
        <w:p w14:paraId="2E7D069B" w14:textId="77777777" w:rsidR="00BD7420" w:rsidRDefault="00BD742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677" w:type="dxa"/>
          <w:vMerge w:val="restart"/>
          <w:vAlign w:val="center"/>
        </w:tcPr>
        <w:p w14:paraId="0D733710" w14:textId="77777777" w:rsidR="00BD742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RESPUESTA SOLICITUD VALIDACIÓN POR SUFICIENCIA</w:t>
          </w:r>
        </w:p>
      </w:tc>
      <w:tc>
        <w:tcPr>
          <w:tcW w:w="1134" w:type="dxa"/>
          <w:vAlign w:val="center"/>
        </w:tcPr>
        <w:p w14:paraId="1814109F" w14:textId="77777777" w:rsidR="00BD742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</w:t>
          </w:r>
        </w:p>
      </w:tc>
      <w:tc>
        <w:tcPr>
          <w:tcW w:w="1843" w:type="dxa"/>
          <w:vAlign w:val="center"/>
        </w:tcPr>
        <w:p w14:paraId="54CE52E4" w14:textId="77777777" w:rsidR="00BD742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2</w:t>
          </w:r>
        </w:p>
      </w:tc>
    </w:tr>
    <w:tr w:rsidR="00BD7420" w14:paraId="26D8943F" w14:textId="77777777">
      <w:trPr>
        <w:trHeight w:val="406"/>
        <w:jc w:val="center"/>
      </w:trPr>
      <w:tc>
        <w:tcPr>
          <w:tcW w:w="2269" w:type="dxa"/>
          <w:vMerge/>
          <w:vAlign w:val="center"/>
        </w:tcPr>
        <w:p w14:paraId="0DCE171D" w14:textId="77777777" w:rsidR="00BD7420" w:rsidRDefault="00BD742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677" w:type="dxa"/>
          <w:vMerge/>
          <w:vAlign w:val="center"/>
        </w:tcPr>
        <w:p w14:paraId="36596C08" w14:textId="77777777" w:rsidR="00BD7420" w:rsidRDefault="00BD742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1134" w:type="dxa"/>
          <w:vAlign w:val="center"/>
        </w:tcPr>
        <w:p w14:paraId="1F924719" w14:textId="77777777" w:rsidR="00BD742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</w:t>
          </w:r>
        </w:p>
      </w:tc>
      <w:tc>
        <w:tcPr>
          <w:tcW w:w="1843" w:type="dxa"/>
          <w:vAlign w:val="center"/>
        </w:tcPr>
        <w:p w14:paraId="49BE5BE7" w14:textId="77777777" w:rsidR="00BD742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004712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004712"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5DBBFADE" w14:textId="77777777" w:rsidR="00BD7420" w:rsidRDefault="00BD742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AF7B" w14:textId="77777777" w:rsidR="00BD7420" w:rsidRDefault="00BD742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420"/>
    <w:rsid w:val="00004712"/>
    <w:rsid w:val="003A778A"/>
    <w:rsid w:val="007F32B6"/>
    <w:rsid w:val="00B77711"/>
    <w:rsid w:val="00BD7420"/>
    <w:rsid w:val="00DC35EE"/>
    <w:rsid w:val="00F2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EA0A1"/>
  <w15:docId w15:val="{8F4E61C8-DBCA-4717-AD19-32362BAE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6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6F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D2D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2DDF"/>
  </w:style>
  <w:style w:type="paragraph" w:styleId="Piedepgina">
    <w:name w:val="footer"/>
    <w:basedOn w:val="Normal"/>
    <w:link w:val="PiedepginaCar"/>
    <w:uiPriority w:val="99"/>
    <w:unhideWhenUsed/>
    <w:rsid w:val="002D2D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2DDF"/>
  </w:style>
  <w:style w:type="paragraph" w:customStyle="1" w:styleId="Pa1">
    <w:name w:val="Pa1"/>
    <w:basedOn w:val="Normal"/>
    <w:next w:val="Normal"/>
    <w:uiPriority w:val="99"/>
    <w:rsid w:val="002F0549"/>
    <w:pPr>
      <w:autoSpaceDE w:val="0"/>
      <w:autoSpaceDN w:val="0"/>
      <w:adjustRightInd w:val="0"/>
      <w:spacing w:after="0" w:line="241" w:lineRule="atLeast"/>
    </w:pPr>
    <w:rPr>
      <w:rFonts w:ascii="Aleo" w:hAnsi="Aleo"/>
      <w:sz w:val="24"/>
      <w:szCs w:val="24"/>
      <w:lang w:val="en-US"/>
    </w:rPr>
  </w:style>
  <w:style w:type="character" w:customStyle="1" w:styleId="A2">
    <w:name w:val="A2"/>
    <w:uiPriority w:val="99"/>
    <w:rsid w:val="002F0549"/>
    <w:rPr>
      <w:rFonts w:cs="Aleo"/>
      <w:color w:val="000000"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Xnxigal2ULGVm5WkC9InqdK/I9A==">AMUW2mV68lTK4IGVo6gapB8xSabMMgIJ8zh+3snKqIHyJ7T3r1qA8R/DQOsdDwAWXJmUc/2uT/rC4mvviG0HC3xnFMgfFtSBQ43ry48xRVyr/fQRJP1FWJM=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507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Computador Portátil 59</cp:lastModifiedBy>
  <cp:revision>4</cp:revision>
  <dcterms:created xsi:type="dcterms:W3CDTF">2024-02-05T22:50:00Z</dcterms:created>
  <dcterms:modified xsi:type="dcterms:W3CDTF">2024-02-17T16:05:00Z</dcterms:modified>
</cp:coreProperties>
</file>