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0C" w:rsidRDefault="0015720C">
      <w:r>
        <w:rPr>
          <w:noProof/>
          <w:lang w:eastAsia="es-CO"/>
        </w:rPr>
        <mc:AlternateContent>
          <mc:Choice Requires="wps">
            <w:drawing>
              <wp:anchor distT="0" distB="0" distL="114300" distR="114300" simplePos="0" relativeHeight="251659264" behindDoc="0" locked="0" layoutInCell="1" allowOverlap="1" wp14:anchorId="7F6256C6" wp14:editId="7AA7EDBA">
                <wp:simplePos x="0" y="0"/>
                <wp:positionH relativeFrom="margin">
                  <wp:align>center</wp:align>
                </wp:positionH>
                <wp:positionV relativeFrom="paragraph">
                  <wp:posOffset>285115</wp:posOffset>
                </wp:positionV>
                <wp:extent cx="8752114" cy="5165766"/>
                <wp:effectExtent l="0" t="0" r="11430" b="15875"/>
                <wp:wrapNone/>
                <wp:docPr id="3"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752114" cy="5165766"/>
                        </a:xfrm>
                        <a:prstGeom prst="rect">
                          <a:avLst/>
                        </a:prstGeom>
                      </wps:spPr>
                      <wps:style>
                        <a:lnRef idx="2">
                          <a:schemeClr val="dk1"/>
                        </a:lnRef>
                        <a:fillRef idx="1">
                          <a:schemeClr val="lt1"/>
                        </a:fillRef>
                        <a:effectRef idx="0">
                          <a:schemeClr val="dk1"/>
                        </a:effectRef>
                        <a:fontRef idx="minor">
                          <a:schemeClr val="dk1"/>
                        </a:fontRef>
                      </wps:style>
                      <wps:txbx>
                        <w:txbxContent>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Plenamente (Valor asignado: 5)</w:t>
                            </w:r>
                            <w:r w:rsidRPr="00707128">
                              <w:rPr>
                                <w:rFonts w:ascii="Century Gothic" w:hAnsi="Century Gothic" w:cstheme="minorBidi"/>
                                <w:sz w:val="28"/>
                                <w:szCs w:val="34"/>
                              </w:rPr>
                              <w:t> Claramente la característica y sus indicadores corresponden al de un programa o universidad de vanguardia. Tanto el Programa como la Universidad son conscientes de su fortaleza y disponen de los mecanismos institucionales y culturales para mantenerla.</w:t>
                            </w:r>
                          </w:p>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En alto grado (Valor asignado: 4) </w:t>
                            </w:r>
                            <w:r w:rsidRPr="00707128">
                              <w:rPr>
                                <w:rFonts w:ascii="Century Gothic" w:hAnsi="Century Gothic" w:cstheme="minorBidi"/>
                                <w:sz w:val="28"/>
                                <w:szCs w:val="34"/>
                              </w:rPr>
                              <w:t>La característica y sus indicadores se encuentran por encima del promedio de programas académicos nacionales de calidad. Las acciones para alcanzar la excelencia han sido identificadas y se dispone de los mecanismos para mantener las fortalezas ya existentes.</w:t>
                            </w:r>
                          </w:p>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Adecuado (Valor asignado: 3)</w:t>
                            </w:r>
                            <w:r w:rsidRPr="00707128">
                              <w:rPr>
                                <w:rFonts w:ascii="Century Gothic" w:hAnsi="Century Gothic" w:cstheme="minorBidi"/>
                                <w:sz w:val="28"/>
                                <w:szCs w:val="34"/>
                              </w:rPr>
                              <w:t> La característica y sus indicadores se encuentran en el promedio de programas académicos nacionales de calidad. Se evidencian mecanismos en acción que permiten inferir que los indicadores pueden ser no sólo mantenidos, sino mejorados en el futuro, y la tendencia parece corroborar este aspecto. El programa ha identificado esta fortaleza y trabaja en mecanismos para mejorarla.</w:t>
                            </w:r>
                          </w:p>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En bajo grado (Valor asignado: 2)</w:t>
                            </w:r>
                            <w:r w:rsidRPr="00707128">
                              <w:rPr>
                                <w:rFonts w:ascii="Century Gothic" w:hAnsi="Century Gothic" w:cstheme="minorBidi"/>
                                <w:sz w:val="28"/>
                                <w:szCs w:val="34"/>
                              </w:rPr>
                              <w:t> La característica y sus indicadores se encuentran por debajo del promedio de programas académicos nacionales de calidad. Si bien es posible que estos indicadores puedan mejorar, se requiere de acciones y medidas suplementarias. Tanto el programa como la universidad son conscientes de las debilidades que poseen, y disponen de mecanismos claros y concretos para superarla.</w:t>
                            </w:r>
                          </w:p>
                          <w:p w:rsidR="0015720C" w:rsidRDefault="0015720C" w:rsidP="0015720C">
                            <w:pPr>
                              <w:pStyle w:val="NormalWeb"/>
                              <w:spacing w:before="0" w:beforeAutospacing="0" w:after="0" w:afterAutospacing="0"/>
                              <w:jc w:val="both"/>
                              <w:rPr>
                                <w:rFonts w:ascii="Century Gothic" w:hAnsi="Century Gothic" w:cstheme="minorBidi"/>
                                <w:sz w:val="28"/>
                                <w:szCs w:val="34"/>
                              </w:rPr>
                            </w:pPr>
                            <w:r w:rsidRPr="00707128">
                              <w:rPr>
                                <w:rFonts w:ascii="Century Gothic" w:hAnsi="Century Gothic" w:cstheme="minorBidi"/>
                                <w:b/>
                                <w:bCs/>
                                <w:sz w:val="28"/>
                                <w:szCs w:val="34"/>
                              </w:rPr>
                              <w:t>No se cumple (Valor asignado: 1)</w:t>
                            </w:r>
                            <w:r w:rsidRPr="00707128">
                              <w:rPr>
                                <w:rFonts w:ascii="Century Gothic" w:hAnsi="Century Gothic" w:cstheme="minorBidi"/>
                                <w:sz w:val="28"/>
                                <w:szCs w:val="34"/>
                              </w:rPr>
                              <w:t> Existen dificultades importantes en la respectiva característica que requieren medidas urgentes e importantes. Los indicadores se encuentran muy lejanos de los deseables en una institución universitaria de vanguardia, y muy por debajo de los de una universidad de calidad. La institución no tiene mecanismos, políticas y acciones concretas y específicas para resolver la debilidad, o ésta parece no haber sido correctamente identificada. La coyuntura actual no permite resolver la debilidad.</w:t>
                            </w: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spacing w:after="0" w:line="240" w:lineRule="auto"/>
                              <w:rPr>
                                <w:rFonts w:ascii="Century Gothic" w:hAnsi="Century Gothic"/>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15720C" w:rsidRPr="00924FC8" w:rsidTr="00CB4A6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Fecha de vigencia</w:t>
                                  </w:r>
                                </w:p>
                              </w:tc>
                            </w:tr>
                            <w:tr w:rsidR="0015720C" w:rsidRPr="00924FC8" w:rsidTr="00CB4A68">
                              <w:trPr>
                                <w:trHeight w:val="583"/>
                              </w:trPr>
                              <w:tc>
                                <w:tcPr>
                                  <w:tcW w:w="3227"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Asesoría de Vicerrectoría Académica </w:t>
                                  </w:r>
                                </w:p>
                                <w:p w:rsidR="0015720C" w:rsidRPr="00924FC8" w:rsidRDefault="0015720C" w:rsidP="0015720C">
                                  <w:pPr>
                                    <w:spacing w:after="0" w:line="240" w:lineRule="auto"/>
                                    <w:jc w:val="center"/>
                                    <w:rPr>
                                      <w:rFonts w:ascii="Century Gothic" w:hAnsi="Century Gothic"/>
                                      <w:sz w:val="20"/>
                                    </w:rPr>
                                  </w:pPr>
                                  <w:r>
                                    <w:rPr>
                                      <w:rFonts w:ascii="Century Gothic" w:hAnsi="Century Gothic"/>
                                      <w:sz w:val="20"/>
                                    </w:rPr>
                                    <w:t xml:space="preserve">Dirección de Aseguramiento de la Calidad </w:t>
                                  </w:r>
                                </w:p>
                              </w:tc>
                              <w:tc>
                                <w:tcPr>
                                  <w:tcW w:w="2693"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Comisión Institucional de Autoevaluación y Acreditación </w:t>
                                  </w:r>
                                </w:p>
                                <w:p w:rsidR="0015720C" w:rsidRPr="00924FC8" w:rsidRDefault="0015720C" w:rsidP="0015720C">
                                  <w:pPr>
                                    <w:spacing w:after="0" w:line="240" w:lineRule="auto"/>
                                    <w:jc w:val="center"/>
                                    <w:rPr>
                                      <w:rFonts w:ascii="Century Gothic" w:hAnsi="Century Gothic"/>
                                      <w:sz w:val="20"/>
                                    </w:rPr>
                                  </w:pPr>
                                  <w:r w:rsidRPr="00924FC8">
                                    <w:rPr>
                                      <w:rFonts w:ascii="Century Gothic" w:hAnsi="Century Gothic"/>
                                      <w:sz w:val="20"/>
                                    </w:rPr>
                                    <w:t>Dirección de Planeación</w:t>
                                  </w:r>
                                </w:p>
                              </w:tc>
                              <w:tc>
                                <w:tcPr>
                                  <w:tcW w:w="1843"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sidRPr="00924FC8">
                                    <w:rPr>
                                      <w:rFonts w:ascii="Century Gothic" w:hAnsi="Century Gothic"/>
                                      <w:sz w:val="20"/>
                                    </w:rPr>
                                    <w:t>Rectoría</w:t>
                                  </w:r>
                                </w:p>
                              </w:tc>
                              <w:tc>
                                <w:tcPr>
                                  <w:tcW w:w="2551"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Pr>
                                      <w:rFonts w:ascii="Century Gothic" w:hAnsi="Century Gothic"/>
                                      <w:sz w:val="20"/>
                                    </w:rPr>
                                    <w:t>Enero de 2015</w:t>
                                  </w:r>
                                </w:p>
                              </w:tc>
                            </w:tr>
                          </w:tbl>
                          <w:p w:rsidR="0015720C" w:rsidRDefault="0015720C" w:rsidP="0015720C">
                            <w:pPr>
                              <w:spacing w:after="0" w:line="240" w:lineRule="auto"/>
                              <w:rPr>
                                <w:rFonts w:ascii="Century Gothic" w:hAnsi="Century Gothic"/>
                                <w:sz w:val="24"/>
                                <w:szCs w:val="24"/>
                              </w:rPr>
                            </w:pPr>
                          </w:p>
                          <w:p w:rsidR="0015720C"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b/>
                                <w:sz w:val="20"/>
                              </w:rPr>
                            </w:pPr>
                            <w:r>
                              <w:rPr>
                                <w:rFonts w:ascii="Century Gothic" w:hAnsi="Century Gothic"/>
                                <w:b/>
                                <w:sz w:val="20"/>
                              </w:rPr>
                              <w:t xml:space="preserve">             </w:t>
                            </w:r>
                            <w:r w:rsidRPr="00924FC8">
                              <w:rPr>
                                <w:rFonts w:ascii="Century Gothic" w:hAnsi="Century Gothic"/>
                                <w:b/>
                                <w:sz w:val="20"/>
                              </w:rPr>
                              <w:t>CONTROL DE CAMBIOS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15720C" w:rsidRPr="00924FC8" w:rsidTr="00CB4A68">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MODIFICACIÓN</w:t>
                                  </w:r>
                                </w:p>
                              </w:tc>
                            </w:tr>
                            <w:tr w:rsidR="0015720C" w:rsidRPr="00924FC8" w:rsidTr="00CB4A68">
                              <w:trPr>
                                <w:trHeight w:val="643"/>
                              </w:trPr>
                              <w:tc>
                                <w:tcPr>
                                  <w:tcW w:w="5656"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c>
                                <w:tcPr>
                                  <w:tcW w:w="4658"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r>
                          </w:tbl>
                          <w:p w:rsidR="0015720C" w:rsidRPr="00924FC8" w:rsidRDefault="0015720C" w:rsidP="0015720C">
                            <w:pPr>
                              <w:jc w:val="both"/>
                              <w:rPr>
                                <w:rFonts w:ascii="Century Gothic" w:hAnsi="Century Gothic"/>
                                <w:sz w:val="20"/>
                              </w:rPr>
                            </w:pPr>
                          </w:p>
                          <w:p w:rsidR="0015720C" w:rsidRPr="00FE2867" w:rsidRDefault="0015720C" w:rsidP="0015720C">
                            <w:pPr>
                              <w:jc w:val="both"/>
                              <w:rPr>
                                <w:rFonts w:ascii="Century Gothic" w:hAnsi="Century Gothic"/>
                                <w:sz w:val="20"/>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spacing w:after="0" w:line="240" w:lineRule="auto"/>
                              <w:rPr>
                                <w:rFonts w:ascii="Century Gothic" w:hAnsi="Century Gothic"/>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15720C" w:rsidRPr="00924FC8" w:rsidTr="00CB4A6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Fecha de vigencia</w:t>
                                  </w:r>
                                </w:p>
                              </w:tc>
                            </w:tr>
                            <w:tr w:rsidR="0015720C" w:rsidRPr="00924FC8" w:rsidTr="00CB4A68">
                              <w:trPr>
                                <w:trHeight w:val="583"/>
                              </w:trPr>
                              <w:tc>
                                <w:tcPr>
                                  <w:tcW w:w="3227"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Asesoría de Vicerrectoría Académica </w:t>
                                  </w:r>
                                </w:p>
                                <w:p w:rsidR="0015720C" w:rsidRPr="00924FC8" w:rsidRDefault="0015720C" w:rsidP="0015720C">
                                  <w:pPr>
                                    <w:spacing w:after="0" w:line="240" w:lineRule="auto"/>
                                    <w:jc w:val="center"/>
                                    <w:rPr>
                                      <w:rFonts w:ascii="Century Gothic" w:hAnsi="Century Gothic"/>
                                      <w:sz w:val="20"/>
                                    </w:rPr>
                                  </w:pPr>
                                  <w:r>
                                    <w:rPr>
                                      <w:rFonts w:ascii="Century Gothic" w:hAnsi="Century Gothic"/>
                                      <w:sz w:val="20"/>
                                    </w:rPr>
                                    <w:t xml:space="preserve">Dirección de Aseguramiento de la Calidad </w:t>
                                  </w:r>
                                </w:p>
                              </w:tc>
                              <w:tc>
                                <w:tcPr>
                                  <w:tcW w:w="2693"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Comisión Institucional de Autoevaluación y Acreditación </w:t>
                                  </w:r>
                                </w:p>
                                <w:p w:rsidR="0015720C" w:rsidRPr="00924FC8" w:rsidRDefault="0015720C" w:rsidP="0015720C">
                                  <w:pPr>
                                    <w:spacing w:after="0" w:line="240" w:lineRule="auto"/>
                                    <w:jc w:val="center"/>
                                    <w:rPr>
                                      <w:rFonts w:ascii="Century Gothic" w:hAnsi="Century Gothic"/>
                                      <w:sz w:val="20"/>
                                    </w:rPr>
                                  </w:pPr>
                                  <w:r w:rsidRPr="00924FC8">
                                    <w:rPr>
                                      <w:rFonts w:ascii="Century Gothic" w:hAnsi="Century Gothic"/>
                                      <w:sz w:val="20"/>
                                    </w:rPr>
                                    <w:t>Dirección de Planeación</w:t>
                                  </w:r>
                                </w:p>
                              </w:tc>
                              <w:tc>
                                <w:tcPr>
                                  <w:tcW w:w="1843"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sidRPr="00924FC8">
                                    <w:rPr>
                                      <w:rFonts w:ascii="Century Gothic" w:hAnsi="Century Gothic"/>
                                      <w:sz w:val="20"/>
                                    </w:rPr>
                                    <w:t>Rectoría</w:t>
                                  </w:r>
                                </w:p>
                              </w:tc>
                              <w:tc>
                                <w:tcPr>
                                  <w:tcW w:w="2551"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Pr>
                                      <w:rFonts w:ascii="Century Gothic" w:hAnsi="Century Gothic"/>
                                      <w:sz w:val="20"/>
                                    </w:rPr>
                                    <w:t>Enero de 2015</w:t>
                                  </w:r>
                                </w:p>
                              </w:tc>
                            </w:tr>
                          </w:tbl>
                          <w:p w:rsidR="0015720C" w:rsidRDefault="0015720C" w:rsidP="0015720C">
                            <w:pPr>
                              <w:spacing w:after="0" w:line="240" w:lineRule="auto"/>
                              <w:rPr>
                                <w:rFonts w:ascii="Century Gothic" w:hAnsi="Century Gothic"/>
                                <w:sz w:val="24"/>
                                <w:szCs w:val="24"/>
                              </w:rPr>
                            </w:pPr>
                          </w:p>
                          <w:p w:rsidR="0015720C"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b/>
                                <w:sz w:val="20"/>
                              </w:rPr>
                            </w:pPr>
                            <w:r>
                              <w:rPr>
                                <w:rFonts w:ascii="Century Gothic" w:hAnsi="Century Gothic"/>
                                <w:b/>
                                <w:sz w:val="20"/>
                              </w:rPr>
                              <w:t xml:space="preserve">             </w:t>
                            </w:r>
                            <w:r w:rsidRPr="00924FC8">
                              <w:rPr>
                                <w:rFonts w:ascii="Century Gothic" w:hAnsi="Century Gothic"/>
                                <w:b/>
                                <w:sz w:val="20"/>
                              </w:rPr>
                              <w:t>CONTROL DE CAMBIOS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15720C" w:rsidRPr="00924FC8" w:rsidTr="00CB4A68">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MODIFICACIÓN</w:t>
                                  </w:r>
                                </w:p>
                              </w:tc>
                            </w:tr>
                            <w:tr w:rsidR="0015720C" w:rsidRPr="00924FC8" w:rsidTr="00CB4A68">
                              <w:trPr>
                                <w:trHeight w:val="643"/>
                              </w:trPr>
                              <w:tc>
                                <w:tcPr>
                                  <w:tcW w:w="5656"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c>
                                <w:tcPr>
                                  <w:tcW w:w="4658"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r>
                          </w:tbl>
                          <w:p w:rsidR="0015720C" w:rsidRPr="00924FC8" w:rsidRDefault="0015720C" w:rsidP="0015720C">
                            <w:pPr>
                              <w:jc w:val="both"/>
                              <w:rPr>
                                <w:rFonts w:ascii="Century Gothic" w:hAnsi="Century Gothic"/>
                                <w:sz w:val="20"/>
                              </w:rPr>
                            </w:pPr>
                          </w:p>
                          <w:p w:rsidR="0015720C" w:rsidRPr="00FE2867" w:rsidRDefault="0015720C" w:rsidP="0015720C">
                            <w:pPr>
                              <w:jc w:val="both"/>
                              <w:rPr>
                                <w:rFonts w:ascii="Century Gothic" w:hAnsi="Century Gothic"/>
                                <w:sz w:val="20"/>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Pr="00707128" w:rsidRDefault="0015720C" w:rsidP="0015720C">
                            <w:pPr>
                              <w:pStyle w:val="NormalWeb"/>
                              <w:spacing w:before="0" w:beforeAutospacing="0" w:after="0" w:afterAutospacing="0"/>
                              <w:jc w:val="both"/>
                              <w:rPr>
                                <w:sz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7F6256C6" id="2 Marcador de contenido" o:spid="_x0000_s1026" style="position:absolute;margin-left:0;margin-top:22.45pt;width:689.15pt;height:40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" fillcolor="white [3201]" strokecolor="black [3200]" strokeweight="1pt">
                <v:path arrowok="t"/>
                <o:lock v:ext="edit" grouping="t"/>
                <v:textbox>
                  <w:txbxContent>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Plenamente (Valor asignado: 5)</w:t>
                      </w:r>
                      <w:r w:rsidRPr="00707128">
                        <w:rPr>
                          <w:rFonts w:ascii="Century Gothic" w:hAnsi="Century Gothic" w:cstheme="minorBidi"/>
                          <w:sz w:val="28"/>
                          <w:szCs w:val="34"/>
                        </w:rPr>
                        <w:t> Claramente la característica y sus indicadores corresponden al de un programa o universidad de vanguardia. Tanto el Programa como la Universidad son conscientes de su fortaleza y disponen de los mecanismos institucionales y culturales para mantenerla.</w:t>
                      </w:r>
                    </w:p>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En alto grado (Valor asignado: 4) </w:t>
                      </w:r>
                      <w:r w:rsidRPr="00707128">
                        <w:rPr>
                          <w:rFonts w:ascii="Century Gothic" w:hAnsi="Century Gothic" w:cstheme="minorBidi"/>
                          <w:sz w:val="28"/>
                          <w:szCs w:val="34"/>
                        </w:rPr>
                        <w:t>La característica y sus indicadores se encuentran por encima del promedio de programas académicos nacionales de calidad. Las acciones para alcanzar la excelencia han sido identificadas y se dispone de los mecanismos para mantener las fortalezas ya existentes.</w:t>
                      </w:r>
                    </w:p>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Adecuado (Valor asignado: 3)</w:t>
                      </w:r>
                      <w:r w:rsidRPr="00707128">
                        <w:rPr>
                          <w:rFonts w:ascii="Century Gothic" w:hAnsi="Century Gothic" w:cstheme="minorBidi"/>
                          <w:sz w:val="28"/>
                          <w:szCs w:val="34"/>
                        </w:rPr>
                        <w:t> La característica y sus indicadores se encuentran en el promedio de programas académicos nacionales de calidad. Se evidencian mecanismos en acción que permiten inferir que los indicadores pueden ser no sólo mantenidos, sino mejorados en el futuro, y la tendencia parece corroborar este aspecto. El programa ha identificado esta fortaleza y trabaja en mecanismos para mejorarla.</w:t>
                      </w:r>
                    </w:p>
                    <w:p w:rsidR="0015720C" w:rsidRPr="00707128" w:rsidRDefault="0015720C" w:rsidP="0015720C">
                      <w:pPr>
                        <w:pStyle w:val="NormalWeb"/>
                        <w:spacing w:before="0" w:beforeAutospacing="0" w:after="0" w:afterAutospacing="0"/>
                        <w:jc w:val="both"/>
                        <w:rPr>
                          <w:sz w:val="20"/>
                        </w:rPr>
                      </w:pPr>
                      <w:r w:rsidRPr="00707128">
                        <w:rPr>
                          <w:rFonts w:ascii="Century Gothic" w:hAnsi="Century Gothic" w:cstheme="minorBidi"/>
                          <w:b/>
                          <w:bCs/>
                          <w:sz w:val="28"/>
                          <w:szCs w:val="34"/>
                        </w:rPr>
                        <w:t>En bajo grado (Valor asignado: 2)</w:t>
                      </w:r>
                      <w:r w:rsidRPr="00707128">
                        <w:rPr>
                          <w:rFonts w:ascii="Century Gothic" w:hAnsi="Century Gothic" w:cstheme="minorBidi"/>
                          <w:sz w:val="28"/>
                          <w:szCs w:val="34"/>
                        </w:rPr>
                        <w:t> La característica y sus indicadores se encuentran por debajo del promedio de programas académicos nacionales de calidad. Si bien es posible que estos indicadores puedan mejorar, se requiere de acciones y medidas suplementarias. Tanto el programa como la universidad son conscientes de las debilidades que poseen, y disponen de mecanismos claros y concretos para superarla.</w:t>
                      </w:r>
                    </w:p>
                    <w:p w:rsidR="0015720C" w:rsidRDefault="0015720C" w:rsidP="0015720C">
                      <w:pPr>
                        <w:pStyle w:val="NormalWeb"/>
                        <w:spacing w:before="0" w:beforeAutospacing="0" w:after="0" w:afterAutospacing="0"/>
                        <w:jc w:val="both"/>
                        <w:rPr>
                          <w:rFonts w:ascii="Century Gothic" w:hAnsi="Century Gothic" w:cstheme="minorBidi"/>
                          <w:sz w:val="28"/>
                          <w:szCs w:val="34"/>
                        </w:rPr>
                      </w:pPr>
                      <w:r w:rsidRPr="00707128">
                        <w:rPr>
                          <w:rFonts w:ascii="Century Gothic" w:hAnsi="Century Gothic" w:cstheme="minorBidi"/>
                          <w:b/>
                          <w:bCs/>
                          <w:sz w:val="28"/>
                          <w:szCs w:val="34"/>
                        </w:rPr>
                        <w:t>No se cumple (Valor asignado: 1)</w:t>
                      </w:r>
                      <w:r w:rsidRPr="00707128">
                        <w:rPr>
                          <w:rFonts w:ascii="Century Gothic" w:hAnsi="Century Gothic" w:cstheme="minorBidi"/>
                          <w:sz w:val="28"/>
                          <w:szCs w:val="34"/>
                        </w:rPr>
                        <w:t> Existen dificultades importantes en la respectiva característica que requieren medidas urgentes e importantes. Los indicadores se encuentran muy lejanos de los deseables en una institución universitaria de vanguardia, y muy por debajo de los de una universidad de calidad. La institución no tiene mecanismos, políticas y acciones concretas y específicas para resolver la debilidad, o ésta parece no haber sido correctamente identificada. La coyuntura actual no permite resolver la debilidad.</w:t>
                      </w: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spacing w:after="0" w:line="240" w:lineRule="auto"/>
                        <w:rPr>
                          <w:rFonts w:ascii="Century Gothic" w:hAnsi="Century Gothic"/>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15720C" w:rsidRPr="00924FC8" w:rsidTr="00CB4A6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Fecha de vigencia</w:t>
                            </w:r>
                          </w:p>
                        </w:tc>
                      </w:tr>
                      <w:tr w:rsidR="0015720C" w:rsidRPr="00924FC8" w:rsidTr="00CB4A68">
                        <w:trPr>
                          <w:trHeight w:val="583"/>
                        </w:trPr>
                        <w:tc>
                          <w:tcPr>
                            <w:tcW w:w="3227"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Asesoría de Vicerrectoría Académica </w:t>
                            </w:r>
                          </w:p>
                          <w:p w:rsidR="0015720C" w:rsidRPr="00924FC8" w:rsidRDefault="0015720C" w:rsidP="0015720C">
                            <w:pPr>
                              <w:spacing w:after="0" w:line="240" w:lineRule="auto"/>
                              <w:jc w:val="center"/>
                              <w:rPr>
                                <w:rFonts w:ascii="Century Gothic" w:hAnsi="Century Gothic"/>
                                <w:sz w:val="20"/>
                              </w:rPr>
                            </w:pPr>
                            <w:r>
                              <w:rPr>
                                <w:rFonts w:ascii="Century Gothic" w:hAnsi="Century Gothic"/>
                                <w:sz w:val="20"/>
                              </w:rPr>
                              <w:t xml:space="preserve">Dirección de Aseguramiento de la Calidad </w:t>
                            </w:r>
                          </w:p>
                        </w:tc>
                        <w:tc>
                          <w:tcPr>
                            <w:tcW w:w="2693"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Comisión Institucional de Autoevaluación y Acreditación </w:t>
                            </w:r>
                          </w:p>
                          <w:p w:rsidR="0015720C" w:rsidRPr="00924FC8" w:rsidRDefault="0015720C" w:rsidP="0015720C">
                            <w:pPr>
                              <w:spacing w:after="0" w:line="240" w:lineRule="auto"/>
                              <w:jc w:val="center"/>
                              <w:rPr>
                                <w:rFonts w:ascii="Century Gothic" w:hAnsi="Century Gothic"/>
                                <w:sz w:val="20"/>
                              </w:rPr>
                            </w:pPr>
                            <w:r w:rsidRPr="00924FC8">
                              <w:rPr>
                                <w:rFonts w:ascii="Century Gothic" w:hAnsi="Century Gothic"/>
                                <w:sz w:val="20"/>
                              </w:rPr>
                              <w:t>Dirección de Planeación</w:t>
                            </w:r>
                          </w:p>
                        </w:tc>
                        <w:tc>
                          <w:tcPr>
                            <w:tcW w:w="1843"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sidRPr="00924FC8">
                              <w:rPr>
                                <w:rFonts w:ascii="Century Gothic" w:hAnsi="Century Gothic"/>
                                <w:sz w:val="20"/>
                              </w:rPr>
                              <w:t>Rectoría</w:t>
                            </w:r>
                          </w:p>
                        </w:tc>
                        <w:tc>
                          <w:tcPr>
                            <w:tcW w:w="2551"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Pr>
                                <w:rFonts w:ascii="Century Gothic" w:hAnsi="Century Gothic"/>
                                <w:sz w:val="20"/>
                              </w:rPr>
                              <w:t>Enero de 2015</w:t>
                            </w:r>
                          </w:p>
                        </w:tc>
                      </w:tr>
                    </w:tbl>
                    <w:p w:rsidR="0015720C" w:rsidRDefault="0015720C" w:rsidP="0015720C">
                      <w:pPr>
                        <w:spacing w:after="0" w:line="240" w:lineRule="auto"/>
                        <w:rPr>
                          <w:rFonts w:ascii="Century Gothic" w:hAnsi="Century Gothic"/>
                          <w:sz w:val="24"/>
                          <w:szCs w:val="24"/>
                        </w:rPr>
                      </w:pPr>
                    </w:p>
                    <w:p w:rsidR="0015720C"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b/>
                          <w:sz w:val="20"/>
                        </w:rPr>
                      </w:pPr>
                      <w:r>
                        <w:rPr>
                          <w:rFonts w:ascii="Century Gothic" w:hAnsi="Century Gothic"/>
                          <w:b/>
                          <w:sz w:val="20"/>
                        </w:rPr>
                        <w:t xml:space="preserve">             </w:t>
                      </w:r>
                      <w:r w:rsidRPr="00924FC8">
                        <w:rPr>
                          <w:rFonts w:ascii="Century Gothic" w:hAnsi="Century Gothic"/>
                          <w:b/>
                          <w:sz w:val="20"/>
                        </w:rPr>
                        <w:t>CONTROL DE CAMBIOS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15720C" w:rsidRPr="00924FC8" w:rsidTr="00CB4A68">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MODIFICACIÓN</w:t>
                            </w:r>
                          </w:p>
                        </w:tc>
                      </w:tr>
                      <w:tr w:rsidR="0015720C" w:rsidRPr="00924FC8" w:rsidTr="00CB4A68">
                        <w:trPr>
                          <w:trHeight w:val="643"/>
                        </w:trPr>
                        <w:tc>
                          <w:tcPr>
                            <w:tcW w:w="5656"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c>
                          <w:tcPr>
                            <w:tcW w:w="4658"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r>
                    </w:tbl>
                    <w:p w:rsidR="0015720C" w:rsidRPr="00924FC8" w:rsidRDefault="0015720C" w:rsidP="0015720C">
                      <w:pPr>
                        <w:jc w:val="both"/>
                        <w:rPr>
                          <w:rFonts w:ascii="Century Gothic" w:hAnsi="Century Gothic"/>
                          <w:sz w:val="20"/>
                        </w:rPr>
                      </w:pPr>
                    </w:p>
                    <w:p w:rsidR="0015720C" w:rsidRPr="00FE2867" w:rsidRDefault="0015720C" w:rsidP="0015720C">
                      <w:pPr>
                        <w:jc w:val="both"/>
                        <w:rPr>
                          <w:rFonts w:ascii="Century Gothic" w:hAnsi="Century Gothic"/>
                          <w:sz w:val="20"/>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spacing w:after="0" w:line="240" w:lineRule="auto"/>
                        <w:rPr>
                          <w:rFonts w:ascii="Century Gothic" w:hAnsi="Century Gothic"/>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15720C" w:rsidRPr="00924FC8" w:rsidTr="00CB4A6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Fecha de vigencia</w:t>
                            </w:r>
                          </w:p>
                        </w:tc>
                      </w:tr>
                      <w:tr w:rsidR="0015720C" w:rsidRPr="00924FC8" w:rsidTr="00CB4A68">
                        <w:trPr>
                          <w:trHeight w:val="583"/>
                        </w:trPr>
                        <w:tc>
                          <w:tcPr>
                            <w:tcW w:w="3227"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Asesoría de Vicerrectoría Académica </w:t>
                            </w:r>
                          </w:p>
                          <w:p w:rsidR="0015720C" w:rsidRPr="00924FC8" w:rsidRDefault="0015720C" w:rsidP="0015720C">
                            <w:pPr>
                              <w:spacing w:after="0" w:line="240" w:lineRule="auto"/>
                              <w:jc w:val="center"/>
                              <w:rPr>
                                <w:rFonts w:ascii="Century Gothic" w:hAnsi="Century Gothic"/>
                                <w:sz w:val="20"/>
                              </w:rPr>
                            </w:pPr>
                            <w:r>
                              <w:rPr>
                                <w:rFonts w:ascii="Century Gothic" w:hAnsi="Century Gothic"/>
                                <w:sz w:val="20"/>
                              </w:rPr>
                              <w:t xml:space="preserve">Dirección de Aseguramiento de la Calidad </w:t>
                            </w:r>
                          </w:p>
                        </w:tc>
                        <w:tc>
                          <w:tcPr>
                            <w:tcW w:w="2693" w:type="dxa"/>
                            <w:tcBorders>
                              <w:top w:val="single" w:sz="4" w:space="0" w:color="auto"/>
                              <w:left w:val="single" w:sz="4" w:space="0" w:color="auto"/>
                              <w:bottom w:val="single" w:sz="4" w:space="0" w:color="auto"/>
                              <w:right w:val="single" w:sz="4" w:space="0" w:color="auto"/>
                            </w:tcBorders>
                            <w:hideMark/>
                          </w:tcPr>
                          <w:p w:rsidR="0015720C" w:rsidRDefault="0015720C" w:rsidP="0015720C">
                            <w:pPr>
                              <w:spacing w:after="0" w:line="240" w:lineRule="auto"/>
                              <w:jc w:val="center"/>
                              <w:rPr>
                                <w:rFonts w:ascii="Century Gothic" w:hAnsi="Century Gothic"/>
                                <w:sz w:val="20"/>
                              </w:rPr>
                            </w:pPr>
                            <w:r>
                              <w:rPr>
                                <w:rFonts w:ascii="Century Gothic" w:hAnsi="Century Gothic"/>
                                <w:sz w:val="20"/>
                              </w:rPr>
                              <w:t xml:space="preserve">Comisión Institucional de Autoevaluación y Acreditación </w:t>
                            </w:r>
                          </w:p>
                          <w:p w:rsidR="0015720C" w:rsidRPr="00924FC8" w:rsidRDefault="0015720C" w:rsidP="0015720C">
                            <w:pPr>
                              <w:spacing w:after="0" w:line="240" w:lineRule="auto"/>
                              <w:jc w:val="center"/>
                              <w:rPr>
                                <w:rFonts w:ascii="Century Gothic" w:hAnsi="Century Gothic"/>
                                <w:sz w:val="20"/>
                              </w:rPr>
                            </w:pPr>
                            <w:r w:rsidRPr="00924FC8">
                              <w:rPr>
                                <w:rFonts w:ascii="Century Gothic" w:hAnsi="Century Gothic"/>
                                <w:sz w:val="20"/>
                              </w:rPr>
                              <w:t>Dirección de Planeación</w:t>
                            </w:r>
                          </w:p>
                        </w:tc>
                        <w:tc>
                          <w:tcPr>
                            <w:tcW w:w="1843"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sidRPr="00924FC8">
                              <w:rPr>
                                <w:rFonts w:ascii="Century Gothic" w:hAnsi="Century Gothic"/>
                                <w:sz w:val="20"/>
                              </w:rPr>
                              <w:t>Rectoría</w:t>
                            </w:r>
                          </w:p>
                        </w:tc>
                        <w:tc>
                          <w:tcPr>
                            <w:tcW w:w="2551" w:type="dxa"/>
                            <w:tcBorders>
                              <w:top w:val="single" w:sz="4" w:space="0" w:color="auto"/>
                              <w:left w:val="single" w:sz="4" w:space="0" w:color="auto"/>
                              <w:bottom w:val="single" w:sz="4" w:space="0" w:color="auto"/>
                              <w:right w:val="single" w:sz="4" w:space="0" w:color="auto"/>
                            </w:tcBorders>
                            <w:hideMark/>
                          </w:tcPr>
                          <w:p w:rsidR="0015720C" w:rsidRPr="00924FC8" w:rsidRDefault="0015720C" w:rsidP="0015720C">
                            <w:pPr>
                              <w:jc w:val="center"/>
                              <w:rPr>
                                <w:rFonts w:ascii="Century Gothic" w:hAnsi="Century Gothic"/>
                                <w:sz w:val="20"/>
                              </w:rPr>
                            </w:pPr>
                            <w:r>
                              <w:rPr>
                                <w:rFonts w:ascii="Century Gothic" w:hAnsi="Century Gothic"/>
                                <w:sz w:val="20"/>
                              </w:rPr>
                              <w:t>Enero de 2015</w:t>
                            </w:r>
                          </w:p>
                        </w:tc>
                      </w:tr>
                    </w:tbl>
                    <w:p w:rsidR="0015720C" w:rsidRDefault="0015720C" w:rsidP="0015720C">
                      <w:pPr>
                        <w:spacing w:after="0" w:line="240" w:lineRule="auto"/>
                        <w:rPr>
                          <w:rFonts w:ascii="Century Gothic" w:hAnsi="Century Gothic"/>
                          <w:sz w:val="24"/>
                          <w:szCs w:val="24"/>
                        </w:rPr>
                      </w:pPr>
                    </w:p>
                    <w:p w:rsidR="0015720C"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b/>
                          <w:sz w:val="20"/>
                        </w:rPr>
                      </w:pPr>
                      <w:r>
                        <w:rPr>
                          <w:rFonts w:ascii="Century Gothic" w:hAnsi="Century Gothic"/>
                          <w:b/>
                          <w:sz w:val="20"/>
                        </w:rPr>
                        <w:t xml:space="preserve">             </w:t>
                      </w:r>
                      <w:r w:rsidRPr="00924FC8">
                        <w:rPr>
                          <w:rFonts w:ascii="Century Gothic" w:hAnsi="Century Gothic"/>
                          <w:b/>
                          <w:sz w:val="20"/>
                        </w:rPr>
                        <w:t>CONTROL DE CAMBIOS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15720C" w:rsidRPr="00924FC8" w:rsidTr="00CB4A68">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15720C">
                            <w:pPr>
                              <w:jc w:val="center"/>
                              <w:rPr>
                                <w:rFonts w:ascii="Century Gothic" w:hAnsi="Century Gothic"/>
                                <w:b/>
                                <w:sz w:val="20"/>
                              </w:rPr>
                            </w:pPr>
                            <w:r w:rsidRPr="00924FC8">
                              <w:rPr>
                                <w:rFonts w:ascii="Century Gothic" w:hAnsi="Century Gothic"/>
                                <w:b/>
                                <w:sz w:val="20"/>
                              </w:rPr>
                              <w:t>MODIFICACIÓN</w:t>
                            </w:r>
                          </w:p>
                        </w:tc>
                      </w:tr>
                      <w:tr w:rsidR="0015720C" w:rsidRPr="00924FC8" w:rsidTr="00CB4A68">
                        <w:trPr>
                          <w:trHeight w:val="643"/>
                        </w:trPr>
                        <w:tc>
                          <w:tcPr>
                            <w:tcW w:w="5656"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c>
                          <w:tcPr>
                            <w:tcW w:w="4658" w:type="dxa"/>
                            <w:tcBorders>
                              <w:top w:val="single" w:sz="4" w:space="0" w:color="auto"/>
                              <w:left w:val="single" w:sz="4" w:space="0" w:color="auto"/>
                              <w:bottom w:val="single" w:sz="4" w:space="0" w:color="auto"/>
                              <w:right w:val="single" w:sz="4" w:space="0" w:color="auto"/>
                            </w:tcBorders>
                          </w:tcPr>
                          <w:p w:rsidR="0015720C" w:rsidRPr="00924FC8" w:rsidRDefault="0015720C" w:rsidP="0015720C">
                            <w:pPr>
                              <w:jc w:val="both"/>
                              <w:rPr>
                                <w:rFonts w:ascii="Century Gothic" w:hAnsi="Century Gothic"/>
                                <w:sz w:val="20"/>
                              </w:rPr>
                            </w:pPr>
                          </w:p>
                        </w:tc>
                      </w:tr>
                    </w:tbl>
                    <w:p w:rsidR="0015720C" w:rsidRPr="00924FC8" w:rsidRDefault="0015720C" w:rsidP="0015720C">
                      <w:pPr>
                        <w:jc w:val="both"/>
                        <w:rPr>
                          <w:rFonts w:ascii="Century Gothic" w:hAnsi="Century Gothic"/>
                          <w:sz w:val="20"/>
                        </w:rPr>
                      </w:pPr>
                    </w:p>
                    <w:p w:rsidR="0015720C" w:rsidRPr="00FE2867" w:rsidRDefault="0015720C" w:rsidP="0015720C">
                      <w:pPr>
                        <w:jc w:val="both"/>
                        <w:rPr>
                          <w:rFonts w:ascii="Century Gothic" w:hAnsi="Century Gothic"/>
                          <w:sz w:val="20"/>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Default="0015720C" w:rsidP="0015720C">
                      <w:pPr>
                        <w:pStyle w:val="NormalWeb"/>
                        <w:spacing w:before="0" w:beforeAutospacing="0" w:after="0" w:afterAutospacing="0"/>
                        <w:jc w:val="both"/>
                        <w:rPr>
                          <w:rFonts w:ascii="Century Gothic" w:hAnsi="Century Gothic" w:cstheme="minorBidi"/>
                          <w:sz w:val="28"/>
                          <w:szCs w:val="34"/>
                        </w:rPr>
                      </w:pPr>
                    </w:p>
                    <w:p w:rsidR="0015720C" w:rsidRPr="00707128" w:rsidRDefault="0015720C" w:rsidP="0015720C">
                      <w:pPr>
                        <w:pStyle w:val="NormalWeb"/>
                        <w:spacing w:before="0" w:beforeAutospacing="0" w:after="0" w:afterAutospacing="0"/>
                        <w:jc w:val="both"/>
                        <w:rPr>
                          <w:sz w:val="20"/>
                        </w:rPr>
                      </w:pPr>
                    </w:p>
                  </w:txbxContent>
                </v:textbox>
                <w10:wrap anchorx="margin"/>
              </v:rect>
            </w:pict>
          </mc:Fallback>
        </mc:AlternateContent>
      </w:r>
    </w:p>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p w:rsidR="0015720C" w:rsidRDefault="0015720C" w:rsidP="0015720C">
      <w:pPr>
        <w:spacing w:after="0" w:line="240" w:lineRule="auto"/>
        <w:rPr>
          <w:rFonts w:ascii="Century Gothic" w:hAnsi="Century Gothic"/>
          <w:sz w:val="24"/>
          <w:szCs w:val="24"/>
        </w:rPr>
      </w:pPr>
    </w:p>
    <w:tbl>
      <w:tblPr>
        <w:tblpPr w:leftFromText="141" w:rightFromText="141" w:bottomFromText="200" w:vertAnchor="text" w:horzAnchor="margin" w:tblpXSpec="center" w:tblpY="-1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15720C" w:rsidRPr="00924FC8" w:rsidTr="00CB4A68">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CB4A68">
            <w:pPr>
              <w:jc w:val="center"/>
              <w:rPr>
                <w:rFonts w:ascii="Century Gothic" w:hAnsi="Century Gothic"/>
                <w:b/>
                <w:sz w:val="20"/>
              </w:rPr>
            </w:pPr>
            <w:r w:rsidRPr="00924FC8">
              <w:rPr>
                <w:rFonts w:ascii="Century Gothic" w:hAnsi="Century Gothic"/>
                <w:b/>
                <w:sz w:val="20"/>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CB4A68">
            <w:pPr>
              <w:jc w:val="center"/>
              <w:rPr>
                <w:rFonts w:ascii="Century Gothic" w:hAnsi="Century Gothic"/>
                <w:b/>
                <w:sz w:val="20"/>
              </w:rPr>
            </w:pPr>
            <w:r w:rsidRPr="00924FC8">
              <w:rPr>
                <w:rFonts w:ascii="Century Gothic" w:hAnsi="Century Gothic"/>
                <w:b/>
                <w:sz w:val="20"/>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CB4A68">
            <w:pPr>
              <w:jc w:val="center"/>
              <w:rPr>
                <w:rFonts w:ascii="Century Gothic" w:hAnsi="Century Gothic"/>
                <w:b/>
                <w:sz w:val="20"/>
              </w:rPr>
            </w:pPr>
            <w:r w:rsidRPr="00924FC8">
              <w:rPr>
                <w:rFonts w:ascii="Century Gothic" w:hAnsi="Century Gothic"/>
                <w:b/>
                <w:sz w:val="20"/>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CB4A68">
            <w:pPr>
              <w:jc w:val="center"/>
              <w:rPr>
                <w:rFonts w:ascii="Century Gothic" w:hAnsi="Century Gothic"/>
                <w:b/>
                <w:sz w:val="20"/>
              </w:rPr>
            </w:pPr>
            <w:r w:rsidRPr="00924FC8">
              <w:rPr>
                <w:rFonts w:ascii="Century Gothic" w:hAnsi="Century Gothic"/>
                <w:b/>
                <w:sz w:val="20"/>
              </w:rPr>
              <w:t>Fecha de vigencia</w:t>
            </w:r>
          </w:p>
        </w:tc>
      </w:tr>
      <w:tr w:rsidR="0015720C" w:rsidRPr="00924FC8" w:rsidTr="00CB4A68">
        <w:trPr>
          <w:trHeight w:val="583"/>
        </w:trPr>
        <w:tc>
          <w:tcPr>
            <w:tcW w:w="3227" w:type="dxa"/>
            <w:tcBorders>
              <w:top w:val="single" w:sz="4" w:space="0" w:color="auto"/>
              <w:left w:val="single" w:sz="4" w:space="0" w:color="auto"/>
              <w:bottom w:val="single" w:sz="4" w:space="0" w:color="auto"/>
              <w:right w:val="single" w:sz="4" w:space="0" w:color="auto"/>
            </w:tcBorders>
            <w:hideMark/>
          </w:tcPr>
          <w:p w:rsidR="0015720C" w:rsidRPr="00924FC8" w:rsidRDefault="0015720C" w:rsidP="00CB4A68">
            <w:pPr>
              <w:spacing w:after="0" w:line="240" w:lineRule="auto"/>
              <w:jc w:val="center"/>
              <w:rPr>
                <w:rFonts w:ascii="Century Gothic" w:hAnsi="Century Gothic"/>
                <w:sz w:val="20"/>
              </w:rPr>
            </w:pPr>
            <w:r>
              <w:rPr>
                <w:rFonts w:ascii="Century Gothic" w:hAnsi="Century Gothic"/>
                <w:sz w:val="20"/>
              </w:rPr>
              <w:t xml:space="preserve">Dirección de Aseguramiento de la Calidad </w:t>
            </w:r>
          </w:p>
        </w:tc>
        <w:tc>
          <w:tcPr>
            <w:tcW w:w="2693" w:type="dxa"/>
            <w:tcBorders>
              <w:top w:val="single" w:sz="4" w:space="0" w:color="auto"/>
              <w:left w:val="single" w:sz="4" w:space="0" w:color="auto"/>
              <w:bottom w:val="single" w:sz="4" w:space="0" w:color="auto"/>
              <w:right w:val="single" w:sz="4" w:space="0" w:color="auto"/>
            </w:tcBorders>
            <w:hideMark/>
          </w:tcPr>
          <w:p w:rsidR="0015720C" w:rsidRDefault="0015720C" w:rsidP="00CB4A68">
            <w:pPr>
              <w:spacing w:after="0" w:line="240" w:lineRule="auto"/>
              <w:jc w:val="center"/>
              <w:rPr>
                <w:rFonts w:ascii="Century Gothic" w:hAnsi="Century Gothic"/>
                <w:sz w:val="20"/>
              </w:rPr>
            </w:pPr>
            <w:r>
              <w:rPr>
                <w:rFonts w:ascii="Century Gothic" w:hAnsi="Century Gothic"/>
                <w:sz w:val="20"/>
              </w:rPr>
              <w:t xml:space="preserve">Comisión Institucional de Autoevaluación y Acreditación </w:t>
            </w:r>
          </w:p>
          <w:p w:rsidR="0015720C" w:rsidRPr="00924FC8" w:rsidRDefault="0015720C" w:rsidP="00CB4A68">
            <w:pPr>
              <w:spacing w:after="0" w:line="240" w:lineRule="auto"/>
              <w:jc w:val="center"/>
              <w:rPr>
                <w:rFonts w:ascii="Century Gothic" w:hAnsi="Century Gothic"/>
                <w:sz w:val="20"/>
              </w:rPr>
            </w:pPr>
            <w:r w:rsidRPr="00924FC8">
              <w:rPr>
                <w:rFonts w:ascii="Century Gothic" w:hAnsi="Century Gothic"/>
                <w:sz w:val="20"/>
              </w:rPr>
              <w:t>Dirección de Planeación</w:t>
            </w:r>
          </w:p>
        </w:tc>
        <w:tc>
          <w:tcPr>
            <w:tcW w:w="1843" w:type="dxa"/>
            <w:tcBorders>
              <w:top w:val="single" w:sz="4" w:space="0" w:color="auto"/>
              <w:left w:val="single" w:sz="4" w:space="0" w:color="auto"/>
              <w:bottom w:val="single" w:sz="4" w:space="0" w:color="auto"/>
              <w:right w:val="single" w:sz="4" w:space="0" w:color="auto"/>
            </w:tcBorders>
            <w:hideMark/>
          </w:tcPr>
          <w:p w:rsidR="0015720C" w:rsidRPr="00924FC8" w:rsidRDefault="0015720C" w:rsidP="00CB4A68">
            <w:pPr>
              <w:jc w:val="center"/>
              <w:rPr>
                <w:rFonts w:ascii="Century Gothic" w:hAnsi="Century Gothic"/>
                <w:sz w:val="20"/>
              </w:rPr>
            </w:pPr>
            <w:r w:rsidRPr="00924FC8">
              <w:rPr>
                <w:rFonts w:ascii="Century Gothic" w:hAnsi="Century Gothic"/>
                <w:sz w:val="20"/>
              </w:rPr>
              <w:t>Rectoría</w:t>
            </w:r>
          </w:p>
        </w:tc>
        <w:tc>
          <w:tcPr>
            <w:tcW w:w="2551" w:type="dxa"/>
            <w:tcBorders>
              <w:top w:val="single" w:sz="4" w:space="0" w:color="auto"/>
              <w:left w:val="single" w:sz="4" w:space="0" w:color="auto"/>
              <w:bottom w:val="single" w:sz="4" w:space="0" w:color="auto"/>
              <w:right w:val="single" w:sz="4" w:space="0" w:color="auto"/>
            </w:tcBorders>
            <w:hideMark/>
          </w:tcPr>
          <w:p w:rsidR="0015720C" w:rsidRPr="00924FC8" w:rsidRDefault="0015720C" w:rsidP="00CB4A68">
            <w:pPr>
              <w:jc w:val="center"/>
              <w:rPr>
                <w:rFonts w:ascii="Century Gothic" w:hAnsi="Century Gothic"/>
                <w:sz w:val="20"/>
              </w:rPr>
            </w:pPr>
            <w:r>
              <w:rPr>
                <w:rFonts w:ascii="Century Gothic" w:hAnsi="Century Gothic"/>
                <w:sz w:val="20"/>
              </w:rPr>
              <w:t>Septiembre de 2014</w:t>
            </w:r>
          </w:p>
        </w:tc>
      </w:tr>
    </w:tbl>
    <w:p w:rsidR="0015720C" w:rsidRDefault="0015720C" w:rsidP="0015720C">
      <w:pPr>
        <w:spacing w:after="0" w:line="240" w:lineRule="auto"/>
        <w:rPr>
          <w:rFonts w:ascii="Century Gothic" w:hAnsi="Century Gothic"/>
          <w:sz w:val="24"/>
          <w:szCs w:val="24"/>
        </w:rPr>
      </w:pPr>
    </w:p>
    <w:p w:rsidR="0015720C"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Pr="00924FC8" w:rsidRDefault="0015720C" w:rsidP="0015720C">
      <w:pPr>
        <w:jc w:val="both"/>
        <w:rPr>
          <w:rFonts w:ascii="Century Gothic" w:hAnsi="Century Gothic"/>
          <w:sz w:val="20"/>
        </w:rPr>
      </w:pPr>
    </w:p>
    <w:p w:rsidR="0015720C" w:rsidRDefault="0015720C" w:rsidP="0015720C">
      <w:pPr>
        <w:jc w:val="both"/>
        <w:rPr>
          <w:rFonts w:ascii="Century Gothic" w:hAnsi="Century Gothic"/>
          <w:b/>
          <w:sz w:val="20"/>
        </w:rPr>
      </w:pPr>
      <w:r>
        <w:rPr>
          <w:rFonts w:ascii="Century Gothic" w:hAnsi="Century Gothic"/>
          <w:b/>
          <w:sz w:val="20"/>
        </w:rPr>
        <w:t xml:space="preserve">             </w:t>
      </w:r>
      <w:bookmarkStart w:id="0" w:name="_GoBack"/>
      <w:bookmarkEnd w:id="0"/>
    </w:p>
    <w:p w:rsidR="0015720C" w:rsidRPr="00924FC8" w:rsidRDefault="0015720C" w:rsidP="0015720C">
      <w:pPr>
        <w:jc w:val="both"/>
        <w:rPr>
          <w:rFonts w:ascii="Century Gothic" w:hAnsi="Century Gothic"/>
          <w:b/>
          <w:sz w:val="20"/>
        </w:rPr>
      </w:pPr>
      <w:r w:rsidRPr="00924FC8">
        <w:rPr>
          <w:rFonts w:ascii="Century Gothic" w:hAnsi="Century Gothic"/>
          <w:b/>
          <w:sz w:val="20"/>
        </w:rPr>
        <w:t>CONTROL DE CAMBIOS</w:t>
      </w:r>
    </w:p>
    <w:tbl>
      <w:tblPr>
        <w:tblpPr w:leftFromText="141" w:rightFromText="141" w:bottomFromText="200" w:vertAnchor="text" w:horzAnchor="margin" w:tblpXSpec="center" w:tblpY="2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15720C" w:rsidRPr="00924FC8" w:rsidTr="00CB4A68">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CB4A68">
            <w:pPr>
              <w:jc w:val="center"/>
              <w:rPr>
                <w:rFonts w:ascii="Century Gothic" w:hAnsi="Century Gothic"/>
                <w:b/>
                <w:sz w:val="20"/>
              </w:rPr>
            </w:pPr>
            <w:r w:rsidRPr="00924FC8">
              <w:rPr>
                <w:rFonts w:ascii="Century Gothic" w:hAnsi="Century Gothic"/>
                <w:b/>
                <w:sz w:val="20"/>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15720C" w:rsidRPr="00924FC8" w:rsidRDefault="0015720C" w:rsidP="00CB4A68">
            <w:pPr>
              <w:jc w:val="center"/>
              <w:rPr>
                <w:rFonts w:ascii="Century Gothic" w:hAnsi="Century Gothic"/>
                <w:b/>
                <w:sz w:val="20"/>
              </w:rPr>
            </w:pPr>
            <w:r w:rsidRPr="00924FC8">
              <w:rPr>
                <w:rFonts w:ascii="Century Gothic" w:hAnsi="Century Gothic"/>
                <w:b/>
                <w:sz w:val="20"/>
              </w:rPr>
              <w:t>MODIFICACIÓN</w:t>
            </w:r>
          </w:p>
        </w:tc>
      </w:tr>
      <w:tr w:rsidR="0015720C" w:rsidRPr="00924FC8" w:rsidTr="00CB4A68">
        <w:trPr>
          <w:trHeight w:val="643"/>
        </w:trPr>
        <w:tc>
          <w:tcPr>
            <w:tcW w:w="5656" w:type="dxa"/>
            <w:tcBorders>
              <w:top w:val="single" w:sz="4" w:space="0" w:color="auto"/>
              <w:left w:val="single" w:sz="4" w:space="0" w:color="auto"/>
              <w:bottom w:val="single" w:sz="4" w:space="0" w:color="auto"/>
              <w:right w:val="single" w:sz="4" w:space="0" w:color="auto"/>
            </w:tcBorders>
          </w:tcPr>
          <w:p w:rsidR="0015720C" w:rsidRPr="00924FC8" w:rsidRDefault="0015720C" w:rsidP="00CB4A68">
            <w:pPr>
              <w:jc w:val="both"/>
              <w:rPr>
                <w:rFonts w:ascii="Century Gothic" w:hAnsi="Century Gothic"/>
                <w:sz w:val="20"/>
              </w:rPr>
            </w:pPr>
          </w:p>
        </w:tc>
        <w:tc>
          <w:tcPr>
            <w:tcW w:w="4658" w:type="dxa"/>
            <w:tcBorders>
              <w:top w:val="single" w:sz="4" w:space="0" w:color="auto"/>
              <w:left w:val="single" w:sz="4" w:space="0" w:color="auto"/>
              <w:bottom w:val="single" w:sz="4" w:space="0" w:color="auto"/>
              <w:right w:val="single" w:sz="4" w:space="0" w:color="auto"/>
            </w:tcBorders>
          </w:tcPr>
          <w:p w:rsidR="0015720C" w:rsidRPr="00924FC8" w:rsidRDefault="0015720C" w:rsidP="00CB4A68">
            <w:pPr>
              <w:jc w:val="both"/>
              <w:rPr>
                <w:rFonts w:ascii="Century Gothic" w:hAnsi="Century Gothic"/>
                <w:sz w:val="20"/>
              </w:rPr>
            </w:pPr>
          </w:p>
        </w:tc>
      </w:tr>
    </w:tbl>
    <w:p w:rsidR="0015720C" w:rsidRPr="00924FC8" w:rsidRDefault="0015720C" w:rsidP="0015720C">
      <w:pPr>
        <w:jc w:val="both"/>
        <w:rPr>
          <w:rFonts w:ascii="Century Gothic" w:hAnsi="Century Gothic"/>
          <w:sz w:val="20"/>
        </w:rPr>
      </w:pPr>
    </w:p>
    <w:p w:rsidR="0015720C" w:rsidRPr="00FE2867" w:rsidRDefault="0015720C" w:rsidP="0015720C">
      <w:pPr>
        <w:jc w:val="both"/>
        <w:rPr>
          <w:rFonts w:ascii="Century Gothic" w:hAnsi="Century Gothic"/>
          <w:sz w:val="20"/>
        </w:rPr>
      </w:pPr>
    </w:p>
    <w:p w:rsidR="0015720C" w:rsidRDefault="0015720C"/>
    <w:p w:rsidR="0015720C" w:rsidRDefault="0015720C"/>
    <w:p w:rsidR="0015720C" w:rsidRDefault="0015720C"/>
    <w:p w:rsidR="0015720C" w:rsidRDefault="0015720C"/>
    <w:p w:rsidR="0015720C" w:rsidRDefault="0015720C"/>
    <w:p w:rsidR="00526138" w:rsidRDefault="00526138"/>
    <w:sectPr w:rsidR="00526138" w:rsidSect="00707128">
      <w:headerReference w:type="default" r:id="rId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927" w:rsidRDefault="008A5927" w:rsidP="00707128">
      <w:pPr>
        <w:spacing w:after="0" w:line="240" w:lineRule="auto"/>
      </w:pPr>
      <w:r>
        <w:separator/>
      </w:r>
    </w:p>
  </w:endnote>
  <w:endnote w:type="continuationSeparator" w:id="0">
    <w:p w:rsidR="008A5927" w:rsidRDefault="008A5927" w:rsidP="0070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927" w:rsidRDefault="008A5927" w:rsidP="00707128">
      <w:pPr>
        <w:spacing w:after="0" w:line="240" w:lineRule="auto"/>
      </w:pPr>
      <w:r>
        <w:separator/>
      </w:r>
    </w:p>
  </w:footnote>
  <w:footnote w:type="continuationSeparator" w:id="0">
    <w:p w:rsidR="008A5927" w:rsidRDefault="008A5927" w:rsidP="00707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8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8363"/>
      <w:gridCol w:w="1559"/>
      <w:gridCol w:w="1418"/>
    </w:tblGrid>
    <w:tr w:rsidR="00707128" w:rsidRPr="003C713F" w:rsidTr="00707128">
      <w:trPr>
        <w:cantSplit/>
        <w:trHeight w:val="423"/>
      </w:trPr>
      <w:tc>
        <w:tcPr>
          <w:tcW w:w="2553" w:type="dxa"/>
          <w:vMerge w:val="restart"/>
          <w:vAlign w:val="center"/>
        </w:tcPr>
        <w:p w:rsidR="00707128" w:rsidRDefault="00707128" w:rsidP="00707128">
          <w:pPr>
            <w:pStyle w:val="Encabezado"/>
            <w:jc w:val="center"/>
            <w:rPr>
              <w:sz w:val="20"/>
            </w:rPr>
          </w:pPr>
          <w:r>
            <w:rPr>
              <w:noProof/>
              <w:sz w:val="20"/>
              <w:lang w:eastAsia="es-CO"/>
            </w:rPr>
            <w:drawing>
              <wp:inline distT="0" distB="0" distL="0" distR="0" wp14:anchorId="3443D762" wp14:editId="29AA9D19">
                <wp:extent cx="1248410" cy="564515"/>
                <wp:effectExtent l="0" t="0" r="8890" b="6985"/>
                <wp:docPr id="1" name="Imagen 1"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564515"/>
                        </a:xfrm>
                        <a:prstGeom prst="rect">
                          <a:avLst/>
                        </a:prstGeom>
                        <a:noFill/>
                        <a:ln>
                          <a:noFill/>
                        </a:ln>
                      </pic:spPr>
                    </pic:pic>
                  </a:graphicData>
                </a:graphic>
              </wp:inline>
            </w:drawing>
          </w:r>
        </w:p>
      </w:tc>
      <w:tc>
        <w:tcPr>
          <w:tcW w:w="8363" w:type="dxa"/>
          <w:vMerge w:val="restart"/>
          <w:shd w:val="clear" w:color="auto" w:fill="auto"/>
          <w:vAlign w:val="center"/>
        </w:tcPr>
        <w:p w:rsidR="00707128" w:rsidRDefault="00707128" w:rsidP="00707128">
          <w:pPr>
            <w:pStyle w:val="Encabezado"/>
            <w:jc w:val="center"/>
            <w:rPr>
              <w:rFonts w:ascii="Century Gothic" w:hAnsi="Century Gothic"/>
              <w:sz w:val="24"/>
              <w:szCs w:val="24"/>
            </w:rPr>
          </w:pPr>
          <w:r>
            <w:rPr>
              <w:rFonts w:ascii="Century Gothic" w:hAnsi="Century Gothic"/>
              <w:sz w:val="24"/>
              <w:szCs w:val="24"/>
            </w:rPr>
            <w:t>ESCALA DE VALORACIÓN</w:t>
          </w:r>
        </w:p>
        <w:p w:rsidR="00707128" w:rsidRPr="003C713F" w:rsidRDefault="00707128" w:rsidP="00707128">
          <w:pPr>
            <w:pStyle w:val="Encabezado"/>
            <w:jc w:val="center"/>
            <w:rPr>
              <w:rFonts w:ascii="Century Gothic" w:hAnsi="Century Gothic"/>
              <w:szCs w:val="24"/>
            </w:rPr>
          </w:pPr>
          <w:r>
            <w:rPr>
              <w:rFonts w:ascii="Century Gothic" w:hAnsi="Century Gothic"/>
              <w:sz w:val="24"/>
              <w:szCs w:val="24"/>
            </w:rPr>
            <w:t xml:space="preserve">GRADACIÓN Y EMISIÓN DE JUICIOS </w:t>
          </w:r>
        </w:p>
      </w:tc>
      <w:tc>
        <w:tcPr>
          <w:tcW w:w="1559" w:type="dxa"/>
          <w:vAlign w:val="center"/>
        </w:tcPr>
        <w:p w:rsidR="00707128" w:rsidRPr="003C713F" w:rsidRDefault="00707128" w:rsidP="00707128">
          <w:pPr>
            <w:pStyle w:val="Encabezado"/>
            <w:jc w:val="center"/>
            <w:rPr>
              <w:rFonts w:ascii="Century Gothic" w:hAnsi="Century Gothic"/>
              <w:sz w:val="24"/>
              <w:szCs w:val="24"/>
            </w:rPr>
          </w:pPr>
          <w:r w:rsidRPr="003C713F">
            <w:rPr>
              <w:rFonts w:ascii="Century Gothic" w:hAnsi="Century Gothic"/>
              <w:sz w:val="24"/>
              <w:szCs w:val="24"/>
            </w:rPr>
            <w:t>Código:</w:t>
          </w:r>
        </w:p>
      </w:tc>
      <w:tc>
        <w:tcPr>
          <w:tcW w:w="1418" w:type="dxa"/>
          <w:vAlign w:val="center"/>
        </w:tcPr>
        <w:p w:rsidR="00707128" w:rsidRPr="003C713F" w:rsidRDefault="00707128" w:rsidP="00707128">
          <w:pPr>
            <w:pStyle w:val="Encabezado"/>
            <w:jc w:val="center"/>
            <w:rPr>
              <w:rFonts w:ascii="Century Gothic" w:hAnsi="Century Gothic"/>
              <w:sz w:val="24"/>
              <w:szCs w:val="24"/>
            </w:rPr>
          </w:pPr>
          <w:r>
            <w:rPr>
              <w:rFonts w:ascii="Century Gothic" w:hAnsi="Century Gothic"/>
              <w:sz w:val="24"/>
              <w:szCs w:val="24"/>
            </w:rPr>
            <w:t xml:space="preserve">SAC-F-16 </w:t>
          </w:r>
        </w:p>
      </w:tc>
    </w:tr>
    <w:tr w:rsidR="00707128" w:rsidRPr="003C713F" w:rsidTr="00707128">
      <w:trPr>
        <w:cantSplit/>
        <w:trHeight w:val="427"/>
      </w:trPr>
      <w:tc>
        <w:tcPr>
          <w:tcW w:w="2553" w:type="dxa"/>
          <w:vMerge/>
        </w:tcPr>
        <w:p w:rsidR="00707128" w:rsidRDefault="00707128" w:rsidP="00707128">
          <w:pPr>
            <w:pStyle w:val="Encabezado"/>
            <w:rPr>
              <w:sz w:val="20"/>
            </w:rPr>
          </w:pPr>
        </w:p>
      </w:tc>
      <w:tc>
        <w:tcPr>
          <w:tcW w:w="8363" w:type="dxa"/>
          <w:vMerge/>
          <w:shd w:val="clear" w:color="auto" w:fill="auto"/>
        </w:tcPr>
        <w:p w:rsidR="00707128" w:rsidRPr="003C713F" w:rsidRDefault="00707128" w:rsidP="00707128">
          <w:pPr>
            <w:pStyle w:val="Encabezado"/>
            <w:jc w:val="center"/>
            <w:rPr>
              <w:rFonts w:ascii="Century Gothic" w:hAnsi="Century Gothic"/>
              <w:sz w:val="24"/>
              <w:szCs w:val="24"/>
            </w:rPr>
          </w:pPr>
        </w:p>
      </w:tc>
      <w:tc>
        <w:tcPr>
          <w:tcW w:w="1559" w:type="dxa"/>
          <w:vAlign w:val="center"/>
        </w:tcPr>
        <w:p w:rsidR="00707128" w:rsidRPr="003C713F" w:rsidRDefault="00707128" w:rsidP="00707128">
          <w:pPr>
            <w:pStyle w:val="Encabezado"/>
            <w:jc w:val="center"/>
            <w:rPr>
              <w:rFonts w:ascii="Century Gothic" w:hAnsi="Century Gothic"/>
              <w:sz w:val="24"/>
              <w:szCs w:val="24"/>
            </w:rPr>
          </w:pPr>
          <w:r w:rsidRPr="003C713F">
            <w:rPr>
              <w:rFonts w:ascii="Century Gothic" w:hAnsi="Century Gothic"/>
              <w:sz w:val="24"/>
              <w:szCs w:val="24"/>
            </w:rPr>
            <w:t>Versión:</w:t>
          </w:r>
        </w:p>
      </w:tc>
      <w:tc>
        <w:tcPr>
          <w:tcW w:w="1418" w:type="dxa"/>
          <w:vAlign w:val="center"/>
        </w:tcPr>
        <w:p w:rsidR="00707128" w:rsidRPr="003C713F" w:rsidRDefault="00707128" w:rsidP="00707128">
          <w:pPr>
            <w:pStyle w:val="Encabezado"/>
            <w:jc w:val="center"/>
            <w:rPr>
              <w:rFonts w:ascii="Century Gothic" w:hAnsi="Century Gothic"/>
              <w:sz w:val="24"/>
              <w:szCs w:val="24"/>
            </w:rPr>
          </w:pPr>
          <w:r w:rsidRPr="003C713F">
            <w:rPr>
              <w:rFonts w:ascii="Century Gothic" w:hAnsi="Century Gothic"/>
              <w:sz w:val="24"/>
              <w:szCs w:val="24"/>
            </w:rPr>
            <w:t>1</w:t>
          </w:r>
        </w:p>
      </w:tc>
    </w:tr>
    <w:tr w:rsidR="00707128" w:rsidRPr="003C713F" w:rsidTr="00707128">
      <w:trPr>
        <w:cantSplit/>
        <w:trHeight w:val="431"/>
      </w:trPr>
      <w:tc>
        <w:tcPr>
          <w:tcW w:w="2553" w:type="dxa"/>
          <w:vMerge/>
        </w:tcPr>
        <w:p w:rsidR="00707128" w:rsidRDefault="00707128" w:rsidP="00707128">
          <w:pPr>
            <w:pStyle w:val="Encabezado"/>
            <w:rPr>
              <w:sz w:val="20"/>
            </w:rPr>
          </w:pPr>
        </w:p>
      </w:tc>
      <w:tc>
        <w:tcPr>
          <w:tcW w:w="8363" w:type="dxa"/>
          <w:vMerge/>
          <w:shd w:val="clear" w:color="auto" w:fill="auto"/>
        </w:tcPr>
        <w:p w:rsidR="00707128" w:rsidRPr="003C713F" w:rsidRDefault="00707128" w:rsidP="00707128">
          <w:pPr>
            <w:pStyle w:val="Encabezado"/>
            <w:rPr>
              <w:rFonts w:ascii="Century Gothic" w:hAnsi="Century Gothic"/>
              <w:sz w:val="24"/>
              <w:szCs w:val="24"/>
            </w:rPr>
          </w:pPr>
        </w:p>
      </w:tc>
      <w:tc>
        <w:tcPr>
          <w:tcW w:w="1559" w:type="dxa"/>
          <w:vAlign w:val="center"/>
        </w:tcPr>
        <w:p w:rsidR="00707128" w:rsidRPr="003C713F" w:rsidRDefault="00707128" w:rsidP="00707128">
          <w:pPr>
            <w:pStyle w:val="Encabezado"/>
            <w:jc w:val="center"/>
            <w:rPr>
              <w:rFonts w:ascii="Century Gothic" w:hAnsi="Century Gothic"/>
              <w:sz w:val="24"/>
              <w:szCs w:val="24"/>
            </w:rPr>
          </w:pPr>
          <w:r w:rsidRPr="003C713F">
            <w:rPr>
              <w:rFonts w:ascii="Century Gothic" w:hAnsi="Century Gothic"/>
              <w:sz w:val="24"/>
              <w:szCs w:val="24"/>
            </w:rPr>
            <w:t>Página:</w:t>
          </w:r>
        </w:p>
      </w:tc>
      <w:tc>
        <w:tcPr>
          <w:tcW w:w="1418" w:type="dxa"/>
          <w:vAlign w:val="center"/>
        </w:tcPr>
        <w:p w:rsidR="00707128" w:rsidRPr="003C713F" w:rsidRDefault="00707128" w:rsidP="00707128">
          <w:pPr>
            <w:pStyle w:val="Encabezado"/>
            <w:jc w:val="center"/>
            <w:rPr>
              <w:rFonts w:ascii="Century Gothic" w:hAnsi="Century Gothic"/>
              <w:sz w:val="24"/>
              <w:szCs w:val="24"/>
            </w:rPr>
          </w:pPr>
          <w:r w:rsidRPr="003C713F">
            <w:rPr>
              <w:rFonts w:ascii="Century Gothic" w:hAnsi="Century Gothic"/>
              <w:snapToGrid w:val="0"/>
              <w:sz w:val="24"/>
              <w:szCs w:val="24"/>
            </w:rPr>
            <w:fldChar w:fldCharType="begin"/>
          </w:r>
          <w:r w:rsidRPr="003C713F">
            <w:rPr>
              <w:rFonts w:ascii="Century Gothic" w:hAnsi="Century Gothic"/>
              <w:snapToGrid w:val="0"/>
              <w:sz w:val="24"/>
              <w:szCs w:val="24"/>
            </w:rPr>
            <w:instrText xml:space="preserve"> PAGE </w:instrText>
          </w:r>
          <w:r w:rsidRPr="003C713F">
            <w:rPr>
              <w:rFonts w:ascii="Century Gothic" w:hAnsi="Century Gothic"/>
              <w:snapToGrid w:val="0"/>
              <w:sz w:val="24"/>
              <w:szCs w:val="24"/>
            </w:rPr>
            <w:fldChar w:fldCharType="separate"/>
          </w:r>
          <w:r w:rsidR="0015720C">
            <w:rPr>
              <w:rFonts w:ascii="Century Gothic" w:hAnsi="Century Gothic"/>
              <w:noProof/>
              <w:snapToGrid w:val="0"/>
              <w:sz w:val="24"/>
              <w:szCs w:val="24"/>
            </w:rPr>
            <w:t>1</w:t>
          </w:r>
          <w:r w:rsidRPr="003C713F">
            <w:rPr>
              <w:rFonts w:ascii="Century Gothic" w:hAnsi="Century Gothic"/>
              <w:snapToGrid w:val="0"/>
              <w:sz w:val="24"/>
              <w:szCs w:val="24"/>
            </w:rPr>
            <w:fldChar w:fldCharType="end"/>
          </w:r>
          <w:r w:rsidRPr="003C713F">
            <w:rPr>
              <w:rFonts w:ascii="Century Gothic" w:hAnsi="Century Gothic"/>
              <w:snapToGrid w:val="0"/>
              <w:sz w:val="24"/>
              <w:szCs w:val="24"/>
            </w:rPr>
            <w:t xml:space="preserve"> de </w:t>
          </w:r>
          <w:r w:rsidRPr="003C713F">
            <w:rPr>
              <w:rFonts w:ascii="Century Gothic" w:hAnsi="Century Gothic"/>
              <w:snapToGrid w:val="0"/>
              <w:sz w:val="24"/>
              <w:szCs w:val="24"/>
            </w:rPr>
            <w:fldChar w:fldCharType="begin"/>
          </w:r>
          <w:r w:rsidRPr="003C713F">
            <w:rPr>
              <w:rFonts w:ascii="Century Gothic" w:hAnsi="Century Gothic"/>
              <w:snapToGrid w:val="0"/>
              <w:sz w:val="24"/>
              <w:szCs w:val="24"/>
            </w:rPr>
            <w:instrText xml:space="preserve"> NUMPAGES </w:instrText>
          </w:r>
          <w:r w:rsidRPr="003C713F">
            <w:rPr>
              <w:rFonts w:ascii="Century Gothic" w:hAnsi="Century Gothic"/>
              <w:snapToGrid w:val="0"/>
              <w:sz w:val="24"/>
              <w:szCs w:val="24"/>
            </w:rPr>
            <w:fldChar w:fldCharType="separate"/>
          </w:r>
          <w:r w:rsidR="0015720C">
            <w:rPr>
              <w:rFonts w:ascii="Century Gothic" w:hAnsi="Century Gothic"/>
              <w:noProof/>
              <w:snapToGrid w:val="0"/>
              <w:sz w:val="24"/>
              <w:szCs w:val="24"/>
            </w:rPr>
            <w:t>2</w:t>
          </w:r>
          <w:r w:rsidRPr="003C713F">
            <w:rPr>
              <w:rFonts w:ascii="Century Gothic" w:hAnsi="Century Gothic"/>
              <w:snapToGrid w:val="0"/>
              <w:sz w:val="24"/>
              <w:szCs w:val="24"/>
            </w:rPr>
            <w:fldChar w:fldCharType="end"/>
          </w:r>
        </w:p>
      </w:tc>
    </w:tr>
  </w:tbl>
  <w:p w:rsidR="00707128" w:rsidRDefault="007071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28"/>
    <w:rsid w:val="0015720C"/>
    <w:rsid w:val="00526138"/>
    <w:rsid w:val="00707128"/>
    <w:rsid w:val="008A5927"/>
    <w:rsid w:val="00977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17169-E519-468E-B924-2FDB0B3C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71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7128"/>
  </w:style>
  <w:style w:type="paragraph" w:styleId="Piedepgina">
    <w:name w:val="footer"/>
    <w:basedOn w:val="Normal"/>
    <w:link w:val="PiedepginaCar"/>
    <w:uiPriority w:val="99"/>
    <w:unhideWhenUsed/>
    <w:rsid w:val="00707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7128"/>
  </w:style>
  <w:style w:type="paragraph" w:styleId="NormalWeb">
    <w:name w:val="Normal (Web)"/>
    <w:basedOn w:val="Normal"/>
    <w:uiPriority w:val="99"/>
    <w:semiHidden/>
    <w:unhideWhenUsed/>
    <w:rsid w:val="00707128"/>
    <w:pPr>
      <w:spacing w:before="100" w:beforeAutospacing="1" w:after="100" w:afterAutospacing="1" w:line="240" w:lineRule="auto"/>
    </w:pPr>
    <w:rPr>
      <w:rFonts w:ascii="Times New Roman" w:eastAsiaTheme="minorEastAsia"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Words>
  <Characters>240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2014-11-27T18:09:00Z</dcterms:created>
  <dcterms:modified xsi:type="dcterms:W3CDTF">2016-05-04T19:54:00Z</dcterms:modified>
</cp:coreProperties>
</file>