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3E2183" w:rsidTr="00390ABB">
        <w:tc>
          <w:tcPr>
            <w:tcW w:w="2929" w:type="dxa"/>
          </w:tcPr>
          <w:p w:rsidR="009A67D5" w:rsidRPr="003E2183" w:rsidRDefault="003601DE" w:rsidP="00CE6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E2183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6989" w:type="dxa"/>
          </w:tcPr>
          <w:p w:rsidR="0044523B" w:rsidRPr="0044523B" w:rsidRDefault="0044523B" w:rsidP="00CE6B4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523B">
              <w:rPr>
                <w:rFonts w:ascii="Arial" w:hAnsi="Arial" w:cs="Arial"/>
                <w:sz w:val="24"/>
                <w:szCs w:val="24"/>
                <w:lang w:val="es-MX"/>
              </w:rPr>
              <w:t>Tener un plan de mantenimiento preventivo que permita óptimos resultados y prácticas académicas exitosas, seguridad en la manipulación de los instrumentos, disminución de costos por daños severos y prolongación de la vida útil.</w:t>
            </w:r>
          </w:p>
          <w:p w:rsidR="009A67D5" w:rsidRPr="0044523B" w:rsidRDefault="009A67D5" w:rsidP="00CE6B4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A67D5" w:rsidRPr="003E2183" w:rsidTr="00390ABB">
        <w:tc>
          <w:tcPr>
            <w:tcW w:w="2929" w:type="dxa"/>
          </w:tcPr>
          <w:p w:rsidR="009A67D5" w:rsidRPr="003E2183" w:rsidRDefault="003601DE" w:rsidP="00CE6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183">
              <w:rPr>
                <w:rFonts w:ascii="Arial" w:hAnsi="Arial" w:cs="Arial"/>
                <w:b/>
                <w:sz w:val="24"/>
                <w:szCs w:val="24"/>
              </w:rPr>
              <w:t>Alcance</w:t>
            </w:r>
          </w:p>
        </w:tc>
        <w:tc>
          <w:tcPr>
            <w:tcW w:w="6989" w:type="dxa"/>
          </w:tcPr>
          <w:p w:rsidR="009A67D5" w:rsidRPr="00233298" w:rsidRDefault="00090B65" w:rsidP="00090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29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Desde el momento en que se reciben los equipos hasta la notificación de retiro o baja del mismo.</w:t>
            </w:r>
          </w:p>
        </w:tc>
      </w:tr>
      <w:tr w:rsidR="003601DE" w:rsidRPr="003E2183" w:rsidTr="00390ABB">
        <w:tc>
          <w:tcPr>
            <w:tcW w:w="9918" w:type="dxa"/>
            <w:gridSpan w:val="2"/>
          </w:tcPr>
          <w:p w:rsidR="003601DE" w:rsidRPr="003E2183" w:rsidRDefault="003601DE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183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</w:tr>
      <w:tr w:rsidR="003601DE" w:rsidRPr="003E2183" w:rsidTr="00390ABB">
        <w:tc>
          <w:tcPr>
            <w:tcW w:w="9918" w:type="dxa"/>
            <w:gridSpan w:val="2"/>
          </w:tcPr>
          <w:p w:rsidR="002C0AF6" w:rsidRPr="00090B65" w:rsidRDefault="00090B65" w:rsidP="00090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8759FF" w:rsidRPr="00090B65">
              <w:rPr>
                <w:rFonts w:ascii="Arial" w:hAnsi="Arial" w:cs="Arial"/>
                <w:sz w:val="24"/>
                <w:szCs w:val="24"/>
              </w:rPr>
              <w:t>Al iniciar el año s</w:t>
            </w:r>
            <w:r w:rsidR="000B7082" w:rsidRPr="00090B65">
              <w:rPr>
                <w:rFonts w:ascii="Arial" w:hAnsi="Arial" w:cs="Arial"/>
                <w:sz w:val="24"/>
                <w:szCs w:val="24"/>
              </w:rPr>
              <w:t>e realiza un cronograma de mantenimiento preventivo anual, en el cual s</w:t>
            </w:r>
            <w:r w:rsidR="00625283" w:rsidRPr="00090B65">
              <w:rPr>
                <w:rFonts w:ascii="Arial" w:hAnsi="Arial" w:cs="Arial"/>
                <w:sz w:val="24"/>
                <w:szCs w:val="24"/>
              </w:rPr>
              <w:t>e indican</w:t>
            </w:r>
            <w:r w:rsidR="008759FF" w:rsidRPr="00090B65">
              <w:rPr>
                <w:rFonts w:ascii="Arial" w:hAnsi="Arial" w:cs="Arial"/>
                <w:sz w:val="24"/>
                <w:szCs w:val="24"/>
              </w:rPr>
              <w:t xml:space="preserve"> meses y proveedores tentativos.</w:t>
            </w:r>
          </w:p>
          <w:p w:rsidR="00CB3134" w:rsidRPr="00CB3134" w:rsidRDefault="00CB3134" w:rsidP="00CB313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9FF" w:rsidRPr="003E2183" w:rsidRDefault="008759F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*Los proveedores de primera opción son los que realizaron el mantenimiento al año anterior; siempre y cuando su desempeño en el servicio haya sido satisfactorio.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Pr="003E2183" w:rsidRDefault="001657A1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759FF">
              <w:rPr>
                <w:rFonts w:ascii="Arial" w:hAnsi="Arial" w:cs="Arial"/>
                <w:sz w:val="24"/>
                <w:szCs w:val="24"/>
              </w:rPr>
              <w:t>Se seleccionan los equipos de acuerdo al cronograma y se envía la solicitud de cotizaci</w:t>
            </w:r>
            <w:r w:rsidR="002E51A4">
              <w:rPr>
                <w:rFonts w:ascii="Arial" w:hAnsi="Arial" w:cs="Arial"/>
                <w:sz w:val="24"/>
                <w:szCs w:val="24"/>
              </w:rPr>
              <w:t>ón del mantenimiento, con 1 mes de anticipación.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2E51A4" w:rsidRDefault="001657A1" w:rsidP="00CE6B4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E51A4">
              <w:rPr>
                <w:rFonts w:ascii="Arial" w:hAnsi="Arial" w:cs="Arial"/>
                <w:sz w:val="24"/>
                <w:szCs w:val="24"/>
              </w:rPr>
              <w:t>Se evalúa</w:t>
            </w:r>
            <w:r w:rsidR="00086B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134">
              <w:rPr>
                <w:rFonts w:ascii="Arial" w:hAnsi="Arial" w:cs="Arial"/>
                <w:sz w:val="24"/>
                <w:szCs w:val="24"/>
              </w:rPr>
              <w:t>la propuesta</w:t>
            </w:r>
            <w:r w:rsidR="00086B25">
              <w:rPr>
                <w:rFonts w:ascii="Arial" w:hAnsi="Arial" w:cs="Arial"/>
                <w:sz w:val="24"/>
                <w:szCs w:val="24"/>
              </w:rPr>
              <w:t xml:space="preserve"> y s</w:t>
            </w:r>
            <w:r w:rsidR="002E51A4">
              <w:rPr>
                <w:rFonts w:ascii="Arial" w:hAnsi="Arial" w:cs="Arial"/>
                <w:sz w:val="24"/>
                <w:szCs w:val="24"/>
              </w:rPr>
              <w:t>e determina si es necesario obtener otra cotización.</w:t>
            </w:r>
          </w:p>
          <w:p w:rsidR="002E51A4" w:rsidRPr="003E2183" w:rsidRDefault="00904BA9" w:rsidP="00CE6B4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2E51A4">
              <w:rPr>
                <w:rFonts w:ascii="Arial" w:hAnsi="Arial" w:cs="Arial"/>
                <w:sz w:val="24"/>
                <w:szCs w:val="24"/>
              </w:rPr>
              <w:t>La revisión consiste en evaluar precio, especialidad del proveedor, trayectoria, experiencias anteriores, costos anterior y oportunidad en el servicio.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Pr="00C50B02" w:rsidRDefault="001657A1" w:rsidP="004C17A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4. </w:t>
            </w:r>
            <w:r w:rsidR="004C17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Para </w:t>
            </w:r>
            <w:r w:rsidR="004C17A6">
              <w:rPr>
                <w:rFonts w:ascii="Arial" w:hAnsi="Arial" w:cs="Arial"/>
                <w:sz w:val="24"/>
                <w:szCs w:val="24"/>
              </w:rPr>
              <w:t xml:space="preserve">los equipos especializados, </w:t>
            </w:r>
            <w:r w:rsidR="002E51A4">
              <w:rPr>
                <w:rFonts w:ascii="Arial" w:hAnsi="Arial" w:cs="Arial"/>
                <w:sz w:val="24"/>
                <w:szCs w:val="24"/>
              </w:rPr>
              <w:t>la solicitud de cotización se realiza directamente al proveedor del equipo. Ejemplo: BTS330 (Bio</w:t>
            </w:r>
            <w:r w:rsidR="00CF15A6">
              <w:rPr>
                <w:rFonts w:ascii="Arial" w:hAnsi="Arial" w:cs="Arial"/>
                <w:sz w:val="24"/>
                <w:szCs w:val="24"/>
              </w:rPr>
              <w:t>systems), VITEK 2  (Biomerieux), absorción atómica (Pelkin Elmer).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2E51A4" w:rsidRDefault="001657A1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5. </w:t>
            </w:r>
            <w:r w:rsidR="002E51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</w:t>
            </w:r>
            <w:r w:rsidR="00D669D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cogida la cotización se realiza</w:t>
            </w:r>
            <w:r w:rsidR="002E51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solicitud de contratación de la actividad por SAIA. Teniendo en cuenta el tiem</w:t>
            </w:r>
            <w:r w:rsidR="0062520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 de tramite (15 días Hábiles) a la fecha probable del inicio del servicio. Se adjuntan las cotizaciones.</w:t>
            </w:r>
          </w:p>
          <w:p w:rsidR="002E51A4" w:rsidRDefault="00904BA9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*</w:t>
            </w:r>
            <w:r w:rsidR="002E51A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 solicitud debe ir revisada y avalada por vicerrectoría Académica, como jefe inmediato. </w:t>
            </w:r>
          </w:p>
          <w:p w:rsidR="00C50918" w:rsidRPr="00C50B02" w:rsidRDefault="00C50918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*Se </w:t>
            </w:r>
            <w:r w:rsidR="0062520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indican las obligaciones del contratista y la universidad.</w:t>
            </w:r>
          </w:p>
        </w:tc>
      </w:tr>
      <w:tr w:rsidR="00BF580A" w:rsidRPr="003E2183" w:rsidTr="00390ABB">
        <w:tc>
          <w:tcPr>
            <w:tcW w:w="9918" w:type="dxa"/>
            <w:gridSpan w:val="2"/>
          </w:tcPr>
          <w:p w:rsidR="00BF580A" w:rsidRDefault="001657A1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6. 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Si el proveedor es nuevo, 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por medio de 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caler 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se canaliza 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 documentación completa de la</w:t>
            </w:r>
            <w:r w:rsidR="00D669D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empresa (RUT, Cámara y comercio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Fotocopia del representante legal</w:t>
            </w:r>
            <w:r w:rsidR="001F6DB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documentos de idoneidad y lo hace llegar a la oficina de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contratación.</w:t>
            </w:r>
          </w:p>
          <w:p w:rsidR="001F6DB6" w:rsidRDefault="001F6DB6" w:rsidP="00CB313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*En caso de ser un proveedor antiguo, 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por medio de Caler se canaliza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 actualización de l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 documentación si es necesario, dirigida a la oficina de contratación.</w:t>
            </w:r>
          </w:p>
          <w:p w:rsidR="000F4704" w:rsidRDefault="000F4704" w:rsidP="00CB313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*La documentación se adjunta a la solicitud del contrato.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A414C7" w:rsidRPr="00A414C7" w:rsidRDefault="001657A1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7. </w:t>
            </w:r>
            <w:r w:rsidR="00904BA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Al correo de Caler llega un mensaje </w:t>
            </w:r>
            <w:r w:rsidR="000F47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automático </w:t>
            </w:r>
            <w:r w:rsidR="00904BA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indicando la aprobación del servicio</w:t>
            </w:r>
            <w:r w:rsidR="00CB313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A414C7" w:rsidRPr="003E2183" w:rsidTr="00390ABB">
        <w:tc>
          <w:tcPr>
            <w:tcW w:w="9918" w:type="dxa"/>
            <w:gridSpan w:val="2"/>
          </w:tcPr>
          <w:p w:rsidR="00A414C7" w:rsidRDefault="001657A1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8. </w:t>
            </w:r>
            <w:r w:rsidR="00904BA9" w:rsidRPr="00904BA9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Caler se comunica con el proveedor</w:t>
            </w:r>
            <w:r w:rsidR="00904BA9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para hacer la notificación respectiva y programar </w:t>
            </w:r>
            <w:r w:rsidR="00D669DD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la </w:t>
            </w:r>
            <w:r w:rsidR="00904BA9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visita.</w:t>
            </w:r>
          </w:p>
          <w:p w:rsidR="00904BA9" w:rsidRDefault="00904BA9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lastRenderedPageBreak/>
              <w:t>*Cuando el equipo debe ser trasladado para el mantenimiento se solicita la información correspond</w:t>
            </w:r>
            <w:r w:rsidR="00BD115E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iente para el traslado, fechas y se procede según procedimiento de retiro de activos fijos por el SAIA 24 horas antes del retiro del instrumento.</w:t>
            </w:r>
          </w:p>
          <w:p w:rsidR="00BF580A" w:rsidRPr="00904BA9" w:rsidRDefault="00BF580A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*Si el mantenimiento requiere documentación y permisos especiales, estos deben ser enviados a la brevedad posible. Ejm: Certificado de alturas. </w:t>
            </w:r>
          </w:p>
        </w:tc>
      </w:tr>
      <w:tr w:rsidR="00CB3134" w:rsidRPr="003E2183" w:rsidTr="00390ABB">
        <w:tc>
          <w:tcPr>
            <w:tcW w:w="9918" w:type="dxa"/>
            <w:gridSpan w:val="2"/>
          </w:tcPr>
          <w:p w:rsidR="00CB3134" w:rsidRDefault="00CB3134" w:rsidP="00CB31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 El mantenimiento se realizará preferiblemente en el espacio donde se encuentre ubicado el equipo, en caso de no ser posible se dispondrá de un espacio para realizar el mantenimiento y Caler se encargará de la entrega del equipo.</w:t>
            </w:r>
          </w:p>
          <w:p w:rsidR="00CB3134" w:rsidRDefault="00BD115E" w:rsidP="00CB31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3134" w:rsidRDefault="001740E3" w:rsidP="00CB31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 equipo cuando va a s</w:t>
            </w:r>
            <w:r w:rsidR="00CB3134">
              <w:rPr>
                <w:rFonts w:ascii="Arial" w:hAnsi="Arial" w:cs="Arial"/>
                <w:sz w:val="24"/>
                <w:szCs w:val="24"/>
              </w:rPr>
              <w:t>er envi</w:t>
            </w:r>
            <w:r w:rsidR="00D669DD">
              <w:rPr>
                <w:rFonts w:ascii="Arial" w:hAnsi="Arial" w:cs="Arial"/>
                <w:sz w:val="24"/>
                <w:szCs w:val="24"/>
              </w:rPr>
              <w:t>a</w:t>
            </w:r>
            <w:r w:rsidR="00CB3134">
              <w:rPr>
                <w:rFonts w:ascii="Arial" w:hAnsi="Arial" w:cs="Arial"/>
                <w:sz w:val="24"/>
                <w:szCs w:val="24"/>
              </w:rPr>
              <w:t>do por correspondencia desde la universidad, debe ser embalado con todos los cuidados necesarios, indicando que es delicado y la posición del mismo, para evitar movimiento bruscos y golpes, que puedan afectar su funcionamiento.</w:t>
            </w:r>
          </w:p>
          <w:p w:rsidR="00CB3134" w:rsidRDefault="00CB3134" w:rsidP="00CB31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134" w:rsidRDefault="00CB3134" w:rsidP="00CB313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*Cuando el equipo es recogido por el proveedores, es él quien debe embalar y hacerse responsable del transporte del instrumento, bajo las mismas características.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Default="00CB3134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657A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Se hace la</w:t>
            </w:r>
            <w:r w:rsidR="00904BA9">
              <w:rPr>
                <w:rFonts w:ascii="Arial" w:hAnsi="Arial" w:cs="Arial"/>
                <w:sz w:val="24"/>
                <w:szCs w:val="24"/>
              </w:rPr>
              <w:t xml:space="preserve"> notificación a docentes/investigadores de las actividades programadas, con el fin de garantizar la disponibilidad del instrumento.</w:t>
            </w:r>
          </w:p>
          <w:p w:rsidR="00904BA9" w:rsidRDefault="00904BA9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BA9" w:rsidRPr="003E2183" w:rsidRDefault="00904BA9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 caso de no ser posible, se acuerdan otras fechas y se habla nuevamente con el proveedor.</w:t>
            </w:r>
          </w:p>
        </w:tc>
      </w:tr>
      <w:tr w:rsidR="00BF580A" w:rsidRPr="003E2183" w:rsidTr="00390ABB">
        <w:tc>
          <w:tcPr>
            <w:tcW w:w="9918" w:type="dxa"/>
            <w:gridSpan w:val="2"/>
          </w:tcPr>
          <w:p w:rsidR="00BF580A" w:rsidRDefault="00CB3134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657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580A">
              <w:rPr>
                <w:rFonts w:ascii="Arial" w:hAnsi="Arial" w:cs="Arial"/>
                <w:sz w:val="24"/>
                <w:szCs w:val="24"/>
              </w:rPr>
              <w:t>Una vez se tiene el contrato físico se envía al proveedor para hacer las firmas respectivas (</w:t>
            </w:r>
            <w:r w:rsidR="00BD115E">
              <w:rPr>
                <w:rFonts w:ascii="Arial" w:hAnsi="Arial" w:cs="Arial"/>
                <w:sz w:val="24"/>
                <w:szCs w:val="24"/>
              </w:rPr>
              <w:t xml:space="preserve">dos documentos </w:t>
            </w:r>
            <w:r w:rsidR="00BF580A">
              <w:rPr>
                <w:rFonts w:ascii="Arial" w:hAnsi="Arial" w:cs="Arial"/>
                <w:sz w:val="24"/>
                <w:szCs w:val="24"/>
              </w:rPr>
              <w:t>original</w:t>
            </w:r>
            <w:r w:rsidR="00BD115E">
              <w:rPr>
                <w:rFonts w:ascii="Arial" w:hAnsi="Arial" w:cs="Arial"/>
                <w:sz w:val="24"/>
                <w:szCs w:val="24"/>
              </w:rPr>
              <w:t>es</w:t>
            </w:r>
            <w:r w:rsidR="00BF580A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F580A" w:rsidRDefault="00BF580A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580A" w:rsidRDefault="00BF580A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 proveedor debe hacer llegar nuevamente el contrato original firmado, el cual es devuelto a la oficina de contratación.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D15B11" w:rsidRPr="00D15B11" w:rsidRDefault="00CB3134" w:rsidP="00CE6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12</w:t>
            </w:r>
            <w:r w:rsidR="001657A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 día del mantenimiento el proveedor es contactado a través de Caler con la Unidad de Seguridad y Salud en el trabajo, donde se le realiza una inducción y se le hace las recomendaciones y verificaciones necesarias.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144ECD" w:rsidRDefault="00CB3134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13</w:t>
            </w:r>
            <w:r w:rsidR="001657A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</w:t>
            </w:r>
            <w:r w:rsidR="00BF58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 proveedor debe contar con todos sus materiales e instrumentos adecuados para hacer la actividad de mantenimiento.</w:t>
            </w:r>
          </w:p>
          <w:p w:rsidR="00C50918" w:rsidRDefault="00C50918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*Si dentro de la cotización se encuentran piezas o repuestos incluidos, estos deben ser cambiados dentro de la actividad. Previa revisión y conocimiento en Caler. </w:t>
            </w:r>
          </w:p>
          <w:p w:rsidR="00BF580A" w:rsidRPr="00D15B11" w:rsidRDefault="00BF580A" w:rsidP="00CE6B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*El proveedor debe contar con certificados actualizados que garanticen la idoneidad de su trabajo</w:t>
            </w:r>
            <w:r w:rsidR="00A1656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suministrar los protocolos de la actividad realizad</w:t>
            </w:r>
            <w:r w:rsidR="00D669D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 de acuerdo a lo contratado</w:t>
            </w:r>
            <w:r w:rsidR="00A1656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096EBA" w:rsidRDefault="001657A1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="00A1656F">
              <w:rPr>
                <w:rFonts w:ascii="Arial" w:hAnsi="Arial" w:cs="Arial"/>
                <w:sz w:val="24"/>
                <w:szCs w:val="24"/>
              </w:rPr>
              <w:t>Los ingenieros y/o técnicos deben cumplir con las normas de bioseguridad</w:t>
            </w:r>
            <w:r>
              <w:rPr>
                <w:rFonts w:ascii="Arial" w:hAnsi="Arial" w:cs="Arial"/>
                <w:sz w:val="24"/>
                <w:szCs w:val="24"/>
              </w:rPr>
              <w:t>, horarios</w:t>
            </w:r>
            <w:r w:rsidR="00A1656F">
              <w:rPr>
                <w:rFonts w:ascii="Arial" w:hAnsi="Arial" w:cs="Arial"/>
                <w:sz w:val="24"/>
                <w:szCs w:val="24"/>
              </w:rPr>
              <w:t xml:space="preserve"> establecidas </w:t>
            </w:r>
            <w:r w:rsidR="008361FA">
              <w:rPr>
                <w:rFonts w:ascii="Arial" w:hAnsi="Arial" w:cs="Arial"/>
                <w:sz w:val="24"/>
                <w:szCs w:val="24"/>
              </w:rPr>
              <w:t>por la Universidad, es obligatorio el uso de la bata y los guantes en caso de equipos biomédicos y para los demás equipos se dejará según el criterio del personal técnico.</w:t>
            </w:r>
          </w:p>
          <w:p w:rsidR="008361FA" w:rsidRDefault="008361FA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1FA" w:rsidRPr="003E2183" w:rsidRDefault="008361FA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*La universidad intenta sin excepción que la mayoría de equipos sean intervenidos dentro de las instalaciones, solo en caso</w:t>
            </w:r>
            <w:r w:rsidR="00D669D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particulares </w:t>
            </w:r>
            <w:r w:rsidR="001657A1">
              <w:rPr>
                <w:rFonts w:ascii="Arial" w:hAnsi="Arial" w:cs="Arial"/>
                <w:sz w:val="24"/>
                <w:szCs w:val="24"/>
              </w:rPr>
              <w:t>se realiza esta actividad por fuera.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Pr="003E2183" w:rsidRDefault="001657A1" w:rsidP="00CE6B4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15. </w:t>
            </w:r>
            <w:r w:rsidR="008361FA">
              <w:rPr>
                <w:rFonts w:ascii="Arial" w:hAnsi="Arial" w:cs="Arial"/>
                <w:sz w:val="24"/>
                <w:szCs w:val="24"/>
              </w:rPr>
              <w:t>El mantenimiento es supervisado por el personal de Caler, quien está pendiente de las necesidades del técnico.</w:t>
            </w:r>
          </w:p>
        </w:tc>
      </w:tr>
      <w:tr w:rsidR="009A15CC" w:rsidRPr="003E2183" w:rsidTr="00390ABB">
        <w:tc>
          <w:tcPr>
            <w:tcW w:w="9918" w:type="dxa"/>
            <w:gridSpan w:val="2"/>
          </w:tcPr>
          <w:p w:rsidR="009A15CC" w:rsidRDefault="009A15CC" w:rsidP="00134E4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A32FB3">
              <w:rPr>
                <w:rFonts w:ascii="Arial" w:hAnsi="Arial" w:cs="Arial"/>
                <w:sz w:val="24"/>
                <w:szCs w:val="24"/>
              </w:rPr>
              <w:t>En el SAIA, C</w:t>
            </w:r>
            <w:r w:rsidR="00B4249F">
              <w:rPr>
                <w:rFonts w:ascii="Arial" w:hAnsi="Arial" w:cs="Arial"/>
                <w:sz w:val="24"/>
                <w:szCs w:val="24"/>
              </w:rPr>
              <w:t>aler realiza un acta de seguimiento</w:t>
            </w:r>
            <w:r w:rsidR="00BD115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34E45">
              <w:rPr>
                <w:rFonts w:ascii="Arial" w:hAnsi="Arial" w:cs="Arial"/>
                <w:sz w:val="24"/>
                <w:szCs w:val="24"/>
              </w:rPr>
              <w:t>solo si el proveedor hace la claridad en el momento de la cotización donde detalla en la solicitud el anticipo</w:t>
            </w:r>
            <w:r w:rsidR="000647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49F">
              <w:rPr>
                <w:rFonts w:ascii="Arial" w:hAnsi="Arial" w:cs="Arial"/>
                <w:sz w:val="24"/>
                <w:szCs w:val="24"/>
              </w:rPr>
              <w:t>de las actividades de mantenimiento (preventivo y correctivo) sobre el 40% del contrato, esto con el fin de garantizarle al proveedor el recurso necesario para tener al día sus obligaciones de seguridad social, pólizas y demás que requieran para la prestación del servicio.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1657A1">
              <w:rPr>
                <w:rFonts w:ascii="Arial" w:hAnsi="Arial" w:cs="Arial"/>
                <w:sz w:val="24"/>
                <w:szCs w:val="24"/>
              </w:rPr>
              <w:t xml:space="preserve">. Una vez terminado el mantenimiento, este debe ser reportado de manera física en un documento apropiado donde se especifiquen las características del instrumento, identificación clara, actividades realizadas, recomendaciones y cuidados. En caso de presentar algún daño o necesidad de cambio de piezas, esto debe quedar consignado para posterior actividad. </w:t>
            </w:r>
          </w:p>
          <w:p w:rsidR="00C50918" w:rsidRDefault="00C50918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0918" w:rsidRDefault="00C50918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 proveedor debe usar un stiker con la fecha de mantenimiento y preferiblemente la fecha de la próxima revisión, esta fecha debe coincidir con las fechas de los reportes.</w:t>
            </w:r>
          </w:p>
          <w:p w:rsidR="00181F4F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F4F" w:rsidRPr="00181F4F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*Si se requiere se realiza una breve capacitación y recordatorio de funcionamiento a los docentes/investigadores que hacen uso de los equipos o se programa la capacitación seg</w:t>
            </w:r>
            <w:r w:rsidR="00C50918">
              <w:rPr>
                <w:rFonts w:ascii="Arial" w:hAnsi="Arial" w:cs="Arial"/>
                <w:sz w:val="24"/>
                <w:szCs w:val="24"/>
              </w:rPr>
              <w:t>ún necesidades de los usuarios, este servicio está incluido dentr</w:t>
            </w:r>
            <w:r w:rsidR="00064719">
              <w:rPr>
                <w:rFonts w:ascii="Arial" w:hAnsi="Arial" w:cs="Arial"/>
                <w:sz w:val="24"/>
                <w:szCs w:val="24"/>
              </w:rPr>
              <w:t>o de la propuesta de cotización y se</w:t>
            </w:r>
            <w:r w:rsidR="00A32FB3">
              <w:rPr>
                <w:rFonts w:ascii="Arial" w:hAnsi="Arial" w:cs="Arial"/>
                <w:sz w:val="24"/>
                <w:szCs w:val="24"/>
              </w:rPr>
              <w:t xml:space="preserve"> debe</w:t>
            </w:r>
            <w:r w:rsidR="00064719">
              <w:rPr>
                <w:rFonts w:ascii="Arial" w:hAnsi="Arial" w:cs="Arial"/>
                <w:sz w:val="24"/>
                <w:szCs w:val="24"/>
              </w:rPr>
              <w:t xml:space="preserve"> hacer el registro de capacitación correspondiente.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Pr="003E2183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657A1">
              <w:rPr>
                <w:rFonts w:ascii="Arial" w:hAnsi="Arial" w:cs="Arial"/>
                <w:sz w:val="24"/>
                <w:szCs w:val="24"/>
              </w:rPr>
              <w:t>. Cuando se realiza el mantenimiento preventivo y se genera la necesidad de hacer alguna reparación inmediata, la cual no requiere intervención posterior, esta debe ser identificada y reportada en el informe de mantenimiento.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Pr="003E2183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657A1">
              <w:rPr>
                <w:rFonts w:ascii="Arial" w:hAnsi="Arial" w:cs="Arial"/>
                <w:sz w:val="24"/>
                <w:szCs w:val="24"/>
              </w:rPr>
              <w:t xml:space="preserve">. El equipo es entregado y revisado por </w:t>
            </w:r>
            <w:r w:rsidR="00A32FB3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1657A1">
              <w:rPr>
                <w:rFonts w:ascii="Arial" w:hAnsi="Arial" w:cs="Arial"/>
                <w:sz w:val="24"/>
                <w:szCs w:val="24"/>
              </w:rPr>
              <w:t>docente/investigador y personal de Caler para comprobaci</w:t>
            </w:r>
            <w:r w:rsidR="00C50918">
              <w:rPr>
                <w:rFonts w:ascii="Arial" w:hAnsi="Arial" w:cs="Arial"/>
                <w:sz w:val="24"/>
                <w:szCs w:val="24"/>
              </w:rPr>
              <w:t>ón de funcionamiento, de acuerdo a lo contratado.</w:t>
            </w:r>
          </w:p>
        </w:tc>
      </w:tr>
      <w:tr w:rsidR="00431344" w:rsidRPr="003E2183" w:rsidTr="00390ABB">
        <w:tc>
          <w:tcPr>
            <w:tcW w:w="9918" w:type="dxa"/>
            <w:gridSpan w:val="2"/>
          </w:tcPr>
          <w:p w:rsidR="00431344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657A1">
              <w:rPr>
                <w:rFonts w:ascii="Arial" w:hAnsi="Arial" w:cs="Arial"/>
                <w:sz w:val="24"/>
                <w:szCs w:val="24"/>
              </w:rPr>
              <w:t>. Una vez realizado el mantenimiento preventivo se solicita al proveedor cotizar el mantenimiento correctivo de los instrumentos en los que se tuvo algún hallazgo y que se requiere intervenir para el óptimo funcionamiento del mismo.</w:t>
            </w:r>
          </w:p>
          <w:p w:rsidR="001657A1" w:rsidRPr="003E2183" w:rsidRDefault="001657A1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7A1" w:rsidRPr="003E2183" w:rsidTr="00181F4F">
        <w:trPr>
          <w:trHeight w:val="1208"/>
        </w:trPr>
        <w:tc>
          <w:tcPr>
            <w:tcW w:w="9918" w:type="dxa"/>
            <w:gridSpan w:val="2"/>
          </w:tcPr>
          <w:p w:rsidR="001657A1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81F4F">
              <w:rPr>
                <w:rFonts w:ascii="Arial" w:hAnsi="Arial" w:cs="Arial"/>
                <w:sz w:val="24"/>
                <w:szCs w:val="24"/>
              </w:rPr>
              <w:t>. Recibida la cotización de mantenimiento correctivo se procede desde el numeral 5.</w:t>
            </w:r>
          </w:p>
          <w:p w:rsidR="00181F4F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F4F" w:rsidRPr="003E2183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*Cuando se presenta el daño de algún equipo sin conocer la causa, se solicita una revisión diagnostica y cotización del servicio.</w:t>
            </w:r>
          </w:p>
        </w:tc>
      </w:tr>
      <w:tr w:rsidR="00181F4F" w:rsidRPr="003E2183" w:rsidTr="00390ABB">
        <w:tc>
          <w:tcPr>
            <w:tcW w:w="9918" w:type="dxa"/>
            <w:gridSpan w:val="2"/>
          </w:tcPr>
          <w:p w:rsidR="00181F4F" w:rsidRDefault="009A15CC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81F4F">
              <w:rPr>
                <w:rFonts w:ascii="Arial" w:hAnsi="Arial" w:cs="Arial"/>
                <w:sz w:val="24"/>
                <w:szCs w:val="24"/>
              </w:rPr>
              <w:t>. se realizan las actividades descritas de manera igual al presente protocolo.</w:t>
            </w:r>
          </w:p>
          <w:p w:rsidR="00181F4F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F4F" w:rsidRDefault="00181F4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 el caso de mantenimiento correctivo, cuando se presentan cambio de piezas o repuestos, el proveedor debe tener un reporte fotográfico del antes y después del instrumento, el cual debe ser entregado a Caler, preferiblemente físico.</w:t>
            </w:r>
          </w:p>
        </w:tc>
      </w:tr>
      <w:tr w:rsidR="00181F4F" w:rsidRPr="003E2183" w:rsidTr="00390ABB">
        <w:tc>
          <w:tcPr>
            <w:tcW w:w="9918" w:type="dxa"/>
            <w:gridSpan w:val="2"/>
          </w:tcPr>
          <w:p w:rsidR="00181F4F" w:rsidRDefault="00832861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181F4F">
              <w:rPr>
                <w:rFonts w:ascii="Arial" w:hAnsi="Arial" w:cs="Arial"/>
                <w:sz w:val="24"/>
                <w:szCs w:val="24"/>
              </w:rPr>
              <w:t>. Los repuesto o piezas deben ser entregados a Caler, quien hará la ruta de disposición.</w:t>
            </w:r>
          </w:p>
        </w:tc>
      </w:tr>
      <w:tr w:rsidR="001657A1" w:rsidRPr="003E2183" w:rsidTr="00390ABB">
        <w:tc>
          <w:tcPr>
            <w:tcW w:w="9918" w:type="dxa"/>
            <w:gridSpan w:val="2"/>
          </w:tcPr>
          <w:p w:rsidR="001657A1" w:rsidRPr="003E2183" w:rsidRDefault="00832861" w:rsidP="00CE6B44">
            <w:pPr>
              <w:ind w:left="708" w:hanging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="00181F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4249F">
              <w:rPr>
                <w:rFonts w:ascii="Arial" w:hAnsi="Arial" w:cs="Arial"/>
                <w:sz w:val="24"/>
                <w:szCs w:val="24"/>
              </w:rPr>
              <w:t>Terminado</w:t>
            </w:r>
            <w:r w:rsidR="00613135">
              <w:rPr>
                <w:rFonts w:ascii="Arial" w:hAnsi="Arial" w:cs="Arial"/>
                <w:sz w:val="24"/>
                <w:szCs w:val="24"/>
              </w:rPr>
              <w:t xml:space="preserve"> el servicio caler debe</w:t>
            </w:r>
            <w:r w:rsidR="00B4249F">
              <w:rPr>
                <w:rFonts w:ascii="Arial" w:hAnsi="Arial" w:cs="Arial"/>
                <w:sz w:val="24"/>
                <w:szCs w:val="24"/>
              </w:rPr>
              <w:t xml:space="preserve"> realizar el acta de terminación, acti</w:t>
            </w:r>
            <w:r w:rsidR="001427E7">
              <w:rPr>
                <w:rFonts w:ascii="Arial" w:hAnsi="Arial" w:cs="Arial"/>
                <w:sz w:val="24"/>
                <w:szCs w:val="24"/>
              </w:rPr>
              <w:t>vidad que se realiza en el SAIA y físicamente co</w:t>
            </w:r>
            <w:r w:rsidR="00BD115E">
              <w:rPr>
                <w:rFonts w:ascii="Arial" w:hAnsi="Arial" w:cs="Arial"/>
                <w:sz w:val="24"/>
                <w:szCs w:val="24"/>
              </w:rPr>
              <w:t>n las firmas correspondientes del área de origen y contratista.</w:t>
            </w:r>
          </w:p>
        </w:tc>
      </w:tr>
      <w:tr w:rsidR="00181F4F" w:rsidRPr="003E2183" w:rsidTr="00390ABB">
        <w:tc>
          <w:tcPr>
            <w:tcW w:w="9918" w:type="dxa"/>
            <w:gridSpan w:val="2"/>
          </w:tcPr>
          <w:p w:rsidR="00181F4F" w:rsidRPr="003E2183" w:rsidRDefault="00B4249F" w:rsidP="00CE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En el SAIA, Caler debe reali</w:t>
            </w:r>
            <w:r w:rsidR="001427E7">
              <w:rPr>
                <w:rFonts w:ascii="Arial" w:hAnsi="Arial" w:cs="Arial"/>
                <w:sz w:val="24"/>
                <w:szCs w:val="24"/>
              </w:rPr>
              <w:t>zar la evaluación del proveedor y terminar el documento, donde se registre la finalización de la actividad de contratación.</w:t>
            </w:r>
          </w:p>
        </w:tc>
      </w:tr>
      <w:tr w:rsidR="00181F4F" w:rsidRPr="003E2183" w:rsidTr="00390ABB">
        <w:tc>
          <w:tcPr>
            <w:tcW w:w="9918" w:type="dxa"/>
            <w:gridSpan w:val="2"/>
          </w:tcPr>
          <w:p w:rsidR="00181F4F" w:rsidRPr="003E2183" w:rsidRDefault="00B4249F" w:rsidP="00142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26. </w:t>
            </w:r>
            <w:r w:rsidR="00C50918" w:rsidRPr="00CE6B44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CE6B44" w:rsidRPr="00CE6B44">
              <w:rPr>
                <w:rFonts w:ascii="Arial" w:hAnsi="Arial" w:cs="Arial"/>
                <w:sz w:val="24"/>
                <w:szCs w:val="24"/>
              </w:rPr>
              <w:t>proveedor</w:t>
            </w:r>
            <w:r w:rsidR="00C50918" w:rsidRPr="00CE6B44">
              <w:rPr>
                <w:rFonts w:ascii="Arial" w:hAnsi="Arial" w:cs="Arial"/>
                <w:sz w:val="24"/>
                <w:szCs w:val="24"/>
              </w:rPr>
              <w:t xml:space="preserve"> se compromete a dar respuesta por fallas de los equipos revisados </w:t>
            </w:r>
            <w:r w:rsidR="00CE6B44" w:rsidRPr="00CE6B44">
              <w:rPr>
                <w:rFonts w:ascii="Arial" w:hAnsi="Arial" w:cs="Arial"/>
                <w:sz w:val="24"/>
                <w:szCs w:val="24"/>
              </w:rPr>
              <w:t>máximo</w:t>
            </w:r>
            <w:r w:rsidR="00C50918" w:rsidRPr="00CE6B44">
              <w:rPr>
                <w:rFonts w:ascii="Arial" w:hAnsi="Arial" w:cs="Arial"/>
                <w:sz w:val="24"/>
                <w:szCs w:val="24"/>
              </w:rPr>
              <w:t xml:space="preserve"> en 5 </w:t>
            </w:r>
            <w:r w:rsidR="00CE6B44" w:rsidRPr="00CE6B44">
              <w:rPr>
                <w:rFonts w:ascii="Arial" w:hAnsi="Arial" w:cs="Arial"/>
                <w:sz w:val="24"/>
                <w:szCs w:val="24"/>
              </w:rPr>
              <w:t>días</w:t>
            </w:r>
            <w:r w:rsidR="00C50918" w:rsidRPr="00CE6B44">
              <w:rPr>
                <w:rFonts w:ascii="Arial" w:hAnsi="Arial" w:cs="Arial"/>
                <w:sz w:val="24"/>
                <w:szCs w:val="24"/>
              </w:rPr>
              <w:t xml:space="preserve"> y el tiempo </w:t>
            </w:r>
            <w:r w:rsidR="001427E7">
              <w:rPr>
                <w:rFonts w:ascii="Arial" w:hAnsi="Arial" w:cs="Arial"/>
                <w:sz w:val="24"/>
                <w:szCs w:val="24"/>
              </w:rPr>
              <w:t>propuesto</w:t>
            </w:r>
            <w:r w:rsidR="00C50918" w:rsidRPr="00CE6B44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E6B44">
              <w:rPr>
                <w:rFonts w:ascii="Arial" w:hAnsi="Arial" w:cs="Arial"/>
                <w:sz w:val="24"/>
                <w:szCs w:val="24"/>
              </w:rPr>
              <w:t>garantía, el cual se estipula en el contrato emitido.</w:t>
            </w:r>
          </w:p>
        </w:tc>
      </w:tr>
      <w:tr w:rsidR="00181F4F" w:rsidRPr="003E2183" w:rsidTr="00390ABB">
        <w:tc>
          <w:tcPr>
            <w:tcW w:w="9918" w:type="dxa"/>
            <w:gridSpan w:val="2"/>
          </w:tcPr>
          <w:p w:rsidR="00181F4F" w:rsidRPr="003E2183" w:rsidRDefault="00181F4F" w:rsidP="00431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margin" w:tblpY="110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552"/>
        <w:gridCol w:w="1746"/>
        <w:gridCol w:w="2417"/>
      </w:tblGrid>
      <w:tr w:rsidR="002A3BA8" w:rsidRPr="00AE03F5" w:rsidTr="002140AA">
        <w:trPr>
          <w:trHeight w:val="53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A3BA8" w:rsidRPr="00AE03F5" w:rsidTr="002140AA">
        <w:trPr>
          <w:trHeight w:val="65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A8" w:rsidRPr="00AE03F5" w:rsidRDefault="00A4174B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03F5">
              <w:rPr>
                <w:rFonts w:ascii="Century Gothic" w:hAnsi="Century Gothic"/>
                <w:sz w:val="20"/>
                <w:szCs w:val="20"/>
              </w:rPr>
              <w:t>Caler</w:t>
            </w:r>
            <w:r w:rsidR="002A3BA8" w:rsidRPr="00AE03F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A8" w:rsidRDefault="002A3BA8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03F5">
              <w:rPr>
                <w:rFonts w:ascii="Century Gothic" w:hAnsi="Century Gothic"/>
                <w:sz w:val="20"/>
                <w:szCs w:val="20"/>
              </w:rPr>
              <w:t>Aseguramiento de Calidad</w:t>
            </w:r>
          </w:p>
          <w:p w:rsidR="00CE6B44" w:rsidRDefault="00CE6B44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Contratación</w:t>
            </w:r>
          </w:p>
          <w:p w:rsidR="0047339D" w:rsidRPr="00AE03F5" w:rsidRDefault="0047339D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Seguridad y salud en el trabajo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03F5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A8" w:rsidRPr="00AE03F5" w:rsidRDefault="00FE5792" w:rsidP="00214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 2019</w:t>
            </w:r>
          </w:p>
        </w:tc>
      </w:tr>
    </w:tbl>
    <w:p w:rsidR="002A3BA8" w:rsidRPr="00AE03F5" w:rsidRDefault="002A3BA8" w:rsidP="002A3BA8">
      <w:pPr>
        <w:jc w:val="both"/>
        <w:rPr>
          <w:rFonts w:ascii="Century Gothic" w:hAnsi="Century Gothic"/>
          <w:b/>
          <w:sz w:val="20"/>
          <w:szCs w:val="20"/>
        </w:rPr>
      </w:pPr>
      <w:r w:rsidRPr="00AE03F5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23"/>
      </w:tblGrid>
      <w:tr w:rsidR="002A3BA8" w:rsidRPr="00AE03F5" w:rsidTr="00A4174B">
        <w:trPr>
          <w:trHeight w:val="5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3BA8" w:rsidRPr="00AE03F5" w:rsidRDefault="002A3BA8" w:rsidP="002140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E03F5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AE03F5" w:rsidRPr="00AE03F5" w:rsidTr="00A4174B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5" w:rsidRPr="00AE03F5" w:rsidRDefault="00AE03F5" w:rsidP="002140A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5" w:rsidRPr="00AE03F5" w:rsidRDefault="00AE03F5" w:rsidP="00AE03F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3BA8" w:rsidRPr="0040661B" w:rsidRDefault="002A3BA8" w:rsidP="002A3BA8">
      <w:pPr>
        <w:rPr>
          <w:rFonts w:ascii="Century Gothic" w:hAnsi="Century Gothic" w:cs="Arial"/>
        </w:rPr>
      </w:pPr>
    </w:p>
    <w:p w:rsidR="00390ABB" w:rsidRPr="0040661B" w:rsidRDefault="00390ABB">
      <w:pPr>
        <w:rPr>
          <w:rFonts w:ascii="Century Gothic" w:hAnsi="Century Gothic"/>
        </w:rPr>
      </w:pPr>
    </w:p>
    <w:sectPr w:rsidR="00390ABB" w:rsidRPr="004066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A8" w:rsidRDefault="00373CA8" w:rsidP="00390ABB">
      <w:pPr>
        <w:spacing w:after="0" w:line="240" w:lineRule="auto"/>
      </w:pPr>
      <w:r>
        <w:separator/>
      </w:r>
    </w:p>
  </w:endnote>
  <w:endnote w:type="continuationSeparator" w:id="0">
    <w:p w:rsidR="00373CA8" w:rsidRDefault="00373CA8" w:rsidP="003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A8" w:rsidRDefault="00373CA8" w:rsidP="00390ABB">
      <w:pPr>
        <w:spacing w:after="0" w:line="240" w:lineRule="auto"/>
      </w:pPr>
      <w:r>
        <w:separator/>
      </w:r>
    </w:p>
  </w:footnote>
  <w:footnote w:type="continuationSeparator" w:id="0">
    <w:p w:rsidR="00373CA8" w:rsidRDefault="00373CA8" w:rsidP="003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390ABB" w:rsidTr="003F11DB">
      <w:trPr>
        <w:trHeight w:val="423"/>
      </w:trPr>
      <w:tc>
        <w:tcPr>
          <w:tcW w:w="2269" w:type="dxa"/>
          <w:vMerge w:val="restart"/>
          <w:vAlign w:val="center"/>
        </w:tcPr>
        <w:p w:rsidR="00390ABB" w:rsidRDefault="00390ABB" w:rsidP="00390ABB">
          <w:pPr>
            <w:pStyle w:val="Encabezado"/>
            <w:jc w:val="center"/>
          </w:pPr>
          <w:r w:rsidRPr="00A920A8">
            <w:rPr>
              <w:noProof/>
              <w:lang w:val="en-US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390ABB" w:rsidRPr="00A920A8" w:rsidRDefault="00390ABB" w:rsidP="00D33E94">
          <w:pPr>
            <w:pStyle w:val="Ttulo1"/>
            <w:rPr>
              <w:rFonts w:ascii="Century Gothic" w:hAnsi="Century Gothic"/>
              <w:b w:val="0"/>
              <w:sz w:val="22"/>
              <w:szCs w:val="22"/>
            </w:rPr>
          </w:pPr>
          <w:r>
            <w:rPr>
              <w:rFonts w:ascii="Century Gothic" w:hAnsi="Century Gothic"/>
              <w:b w:val="0"/>
              <w:sz w:val="22"/>
              <w:szCs w:val="22"/>
            </w:rPr>
            <w:t xml:space="preserve">PROTOCOLO </w:t>
          </w:r>
          <w:r w:rsidR="00FC6A37">
            <w:rPr>
              <w:rFonts w:ascii="Century Gothic" w:hAnsi="Century Gothic"/>
              <w:b w:val="0"/>
              <w:sz w:val="22"/>
              <w:szCs w:val="22"/>
            </w:rPr>
            <w:t xml:space="preserve">PARA </w:t>
          </w:r>
          <w:r w:rsidR="00D33E94">
            <w:rPr>
              <w:rFonts w:ascii="Century Gothic" w:hAnsi="Century Gothic"/>
              <w:b w:val="0"/>
              <w:sz w:val="22"/>
              <w:szCs w:val="22"/>
            </w:rPr>
            <w:t>LA GESTION DE MANTENIMIENTOS</w:t>
          </w:r>
          <w:r w:rsidR="0003226E">
            <w:rPr>
              <w:rFonts w:ascii="Century Gothic" w:hAnsi="Century Gothic"/>
              <w:b w:val="0"/>
              <w:sz w:val="22"/>
              <w:szCs w:val="22"/>
            </w:rPr>
            <w:t xml:space="preserve"> DE EQUIPOS DE LABORATORIO</w:t>
          </w:r>
        </w:p>
      </w:tc>
      <w:tc>
        <w:tcPr>
          <w:tcW w:w="1134" w:type="dxa"/>
          <w:vAlign w:val="center"/>
        </w:tcPr>
        <w:p w:rsidR="00390ABB" w:rsidRPr="00A920A8" w:rsidRDefault="00390ABB" w:rsidP="00390ABB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</w:rPr>
            <w:t>Código</w:t>
          </w:r>
        </w:p>
      </w:tc>
      <w:tc>
        <w:tcPr>
          <w:tcW w:w="1843" w:type="dxa"/>
          <w:vAlign w:val="center"/>
        </w:tcPr>
        <w:p w:rsidR="00390ABB" w:rsidRPr="00A920A8" w:rsidRDefault="00C63664" w:rsidP="00DC0B3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GRE-PR-</w:t>
          </w:r>
          <w:r w:rsidR="00D33E94">
            <w:rPr>
              <w:rFonts w:ascii="Century Gothic" w:hAnsi="Century Gothic"/>
            </w:rPr>
            <w:t>19</w:t>
          </w:r>
        </w:p>
      </w:tc>
    </w:tr>
    <w:tr w:rsidR="00390ABB" w:rsidTr="003F11DB">
      <w:trPr>
        <w:trHeight w:val="415"/>
      </w:trPr>
      <w:tc>
        <w:tcPr>
          <w:tcW w:w="2269" w:type="dxa"/>
          <w:vMerge/>
        </w:tcPr>
        <w:p w:rsidR="00390ABB" w:rsidRDefault="00390ABB" w:rsidP="00390ABB">
          <w:pPr>
            <w:pStyle w:val="Encabezado"/>
          </w:pPr>
        </w:p>
      </w:tc>
      <w:tc>
        <w:tcPr>
          <w:tcW w:w="4677" w:type="dxa"/>
          <w:vMerge/>
        </w:tcPr>
        <w:p w:rsidR="00390ABB" w:rsidRPr="00A920A8" w:rsidRDefault="00390ABB" w:rsidP="00390AB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390ABB" w:rsidRPr="00A920A8" w:rsidRDefault="00390ABB" w:rsidP="00390ABB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</w:rPr>
            <w:t>Versión</w:t>
          </w:r>
        </w:p>
      </w:tc>
      <w:tc>
        <w:tcPr>
          <w:tcW w:w="1843" w:type="dxa"/>
          <w:vAlign w:val="center"/>
        </w:tcPr>
        <w:p w:rsidR="00390ABB" w:rsidRPr="00A920A8" w:rsidRDefault="00B94A9E" w:rsidP="00390AB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390ABB" w:rsidTr="003F11DB">
      <w:trPr>
        <w:trHeight w:val="406"/>
      </w:trPr>
      <w:tc>
        <w:tcPr>
          <w:tcW w:w="2269" w:type="dxa"/>
          <w:vMerge/>
        </w:tcPr>
        <w:p w:rsidR="00390ABB" w:rsidRDefault="00390ABB" w:rsidP="00390ABB">
          <w:pPr>
            <w:pStyle w:val="Encabezado"/>
          </w:pPr>
        </w:p>
      </w:tc>
      <w:tc>
        <w:tcPr>
          <w:tcW w:w="4677" w:type="dxa"/>
          <w:vMerge/>
        </w:tcPr>
        <w:p w:rsidR="00390ABB" w:rsidRPr="00A920A8" w:rsidRDefault="00390ABB" w:rsidP="00390AB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390ABB" w:rsidRPr="00A920A8" w:rsidRDefault="00390ABB" w:rsidP="00390ABB">
          <w:pPr>
            <w:pStyle w:val="Encabezado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3" w:type="dxa"/>
          <w:vAlign w:val="center"/>
        </w:tcPr>
        <w:p w:rsidR="00390ABB" w:rsidRPr="00A920A8" w:rsidRDefault="00390ABB" w:rsidP="00390ABB">
          <w:pPr>
            <w:pStyle w:val="Encabezado"/>
            <w:jc w:val="center"/>
            <w:rPr>
              <w:rFonts w:ascii="Century Gothic" w:hAnsi="Century Gothic"/>
            </w:rPr>
          </w:pPr>
          <w:r w:rsidRPr="00A920A8">
            <w:rPr>
              <w:rFonts w:ascii="Century Gothic" w:hAnsi="Century Gothic"/>
              <w:snapToGrid w:val="0"/>
            </w:rPr>
            <w:fldChar w:fldCharType="begin"/>
          </w:r>
          <w:r w:rsidRPr="00A920A8">
            <w:rPr>
              <w:rFonts w:ascii="Century Gothic" w:hAnsi="Century Gothic"/>
              <w:snapToGrid w:val="0"/>
            </w:rPr>
            <w:instrText xml:space="preserve"> PAGE </w:instrText>
          </w:r>
          <w:r w:rsidRPr="00A920A8">
            <w:rPr>
              <w:rFonts w:ascii="Century Gothic" w:hAnsi="Century Gothic"/>
              <w:snapToGrid w:val="0"/>
            </w:rPr>
            <w:fldChar w:fldCharType="separate"/>
          </w:r>
          <w:r w:rsidR="00D31A03">
            <w:rPr>
              <w:rFonts w:ascii="Century Gothic" w:hAnsi="Century Gothic"/>
              <w:noProof/>
              <w:snapToGrid w:val="0"/>
            </w:rPr>
            <w:t>1</w:t>
          </w:r>
          <w:r w:rsidRPr="00A920A8">
            <w:rPr>
              <w:rFonts w:ascii="Century Gothic" w:hAnsi="Century Gothic"/>
              <w:snapToGrid w:val="0"/>
            </w:rPr>
            <w:fldChar w:fldCharType="end"/>
          </w:r>
          <w:r w:rsidRPr="00A920A8">
            <w:rPr>
              <w:rFonts w:ascii="Century Gothic" w:hAnsi="Century Gothic"/>
              <w:snapToGrid w:val="0"/>
            </w:rPr>
            <w:t xml:space="preserve"> de </w:t>
          </w:r>
          <w:r w:rsidRPr="00A920A8">
            <w:rPr>
              <w:rFonts w:ascii="Century Gothic" w:hAnsi="Century Gothic"/>
              <w:snapToGrid w:val="0"/>
            </w:rPr>
            <w:fldChar w:fldCharType="begin"/>
          </w:r>
          <w:r w:rsidRPr="00A920A8">
            <w:rPr>
              <w:rFonts w:ascii="Century Gothic" w:hAnsi="Century Gothic"/>
              <w:snapToGrid w:val="0"/>
            </w:rPr>
            <w:instrText xml:space="preserve"> NUMPAGES </w:instrText>
          </w:r>
          <w:r w:rsidRPr="00A920A8">
            <w:rPr>
              <w:rFonts w:ascii="Century Gothic" w:hAnsi="Century Gothic"/>
              <w:snapToGrid w:val="0"/>
            </w:rPr>
            <w:fldChar w:fldCharType="separate"/>
          </w:r>
          <w:r w:rsidR="00D31A03">
            <w:rPr>
              <w:rFonts w:ascii="Century Gothic" w:hAnsi="Century Gothic"/>
              <w:noProof/>
              <w:snapToGrid w:val="0"/>
            </w:rPr>
            <w:t>4</w:t>
          </w:r>
          <w:r w:rsidRPr="00A920A8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390ABB" w:rsidRDefault="00390A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49B"/>
    <w:multiLevelType w:val="multilevel"/>
    <w:tmpl w:val="854AD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507"/>
    <w:multiLevelType w:val="multilevel"/>
    <w:tmpl w:val="85F8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751CF"/>
    <w:multiLevelType w:val="hybridMultilevel"/>
    <w:tmpl w:val="058890EA"/>
    <w:lvl w:ilvl="0" w:tplc="04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F21B54"/>
    <w:multiLevelType w:val="multilevel"/>
    <w:tmpl w:val="407A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A708E"/>
    <w:multiLevelType w:val="hybridMultilevel"/>
    <w:tmpl w:val="73DC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D46E8"/>
    <w:multiLevelType w:val="hybridMultilevel"/>
    <w:tmpl w:val="1EEC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E8E"/>
    <w:multiLevelType w:val="hybridMultilevel"/>
    <w:tmpl w:val="164A559C"/>
    <w:lvl w:ilvl="0" w:tplc="658C22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EB4"/>
    <w:multiLevelType w:val="hybridMultilevel"/>
    <w:tmpl w:val="9258E01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DD421D"/>
    <w:multiLevelType w:val="hybridMultilevel"/>
    <w:tmpl w:val="A24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3501"/>
    <w:multiLevelType w:val="multilevel"/>
    <w:tmpl w:val="52E0B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15008"/>
    <w:multiLevelType w:val="multilevel"/>
    <w:tmpl w:val="2426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A2068"/>
    <w:multiLevelType w:val="multilevel"/>
    <w:tmpl w:val="C5E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16203"/>
    <w:multiLevelType w:val="multilevel"/>
    <w:tmpl w:val="BDCC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15C83"/>
    <w:multiLevelType w:val="multilevel"/>
    <w:tmpl w:val="C5EE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C"/>
    <w:rsid w:val="0003226E"/>
    <w:rsid w:val="00032812"/>
    <w:rsid w:val="00064719"/>
    <w:rsid w:val="00086B25"/>
    <w:rsid w:val="00090B65"/>
    <w:rsid w:val="00096EBA"/>
    <w:rsid w:val="000B7082"/>
    <w:rsid w:val="000F113F"/>
    <w:rsid w:val="000F4704"/>
    <w:rsid w:val="0012192F"/>
    <w:rsid w:val="00134E45"/>
    <w:rsid w:val="001427E7"/>
    <w:rsid w:val="00144ECD"/>
    <w:rsid w:val="00153BA9"/>
    <w:rsid w:val="001657A1"/>
    <w:rsid w:val="001740E3"/>
    <w:rsid w:val="00181F4F"/>
    <w:rsid w:val="001D42D5"/>
    <w:rsid w:val="001F68A6"/>
    <w:rsid w:val="001F6DB6"/>
    <w:rsid w:val="00206C49"/>
    <w:rsid w:val="002140AA"/>
    <w:rsid w:val="00221E4C"/>
    <w:rsid w:val="00233298"/>
    <w:rsid w:val="002434D2"/>
    <w:rsid w:val="00297CFA"/>
    <w:rsid w:val="002A334B"/>
    <w:rsid w:val="002A3BA8"/>
    <w:rsid w:val="002C0AF6"/>
    <w:rsid w:val="002E51A4"/>
    <w:rsid w:val="002F64AD"/>
    <w:rsid w:val="00313E22"/>
    <w:rsid w:val="00327789"/>
    <w:rsid w:val="00327CE6"/>
    <w:rsid w:val="00345E47"/>
    <w:rsid w:val="003601DE"/>
    <w:rsid w:val="00373CA8"/>
    <w:rsid w:val="00390ABB"/>
    <w:rsid w:val="003E0AEE"/>
    <w:rsid w:val="003E2183"/>
    <w:rsid w:val="00404F0E"/>
    <w:rsid w:val="0040661B"/>
    <w:rsid w:val="0042589C"/>
    <w:rsid w:val="00431319"/>
    <w:rsid w:val="00431344"/>
    <w:rsid w:val="004375AB"/>
    <w:rsid w:val="0044523B"/>
    <w:rsid w:val="0047339D"/>
    <w:rsid w:val="004C17A6"/>
    <w:rsid w:val="00522256"/>
    <w:rsid w:val="00543A68"/>
    <w:rsid w:val="00545367"/>
    <w:rsid w:val="00556DE4"/>
    <w:rsid w:val="00563D77"/>
    <w:rsid w:val="005D008F"/>
    <w:rsid w:val="005F72EA"/>
    <w:rsid w:val="00613135"/>
    <w:rsid w:val="00625209"/>
    <w:rsid w:val="00625283"/>
    <w:rsid w:val="007200DF"/>
    <w:rsid w:val="00774843"/>
    <w:rsid w:val="00783BC7"/>
    <w:rsid w:val="007E103F"/>
    <w:rsid w:val="00832861"/>
    <w:rsid w:val="008361FA"/>
    <w:rsid w:val="008563A0"/>
    <w:rsid w:val="008602E9"/>
    <w:rsid w:val="00863409"/>
    <w:rsid w:val="008759FF"/>
    <w:rsid w:val="008832FA"/>
    <w:rsid w:val="008929EB"/>
    <w:rsid w:val="008D412F"/>
    <w:rsid w:val="008E134A"/>
    <w:rsid w:val="008F7B84"/>
    <w:rsid w:val="00904BA9"/>
    <w:rsid w:val="009439A7"/>
    <w:rsid w:val="00945DE8"/>
    <w:rsid w:val="009616F7"/>
    <w:rsid w:val="00984C8B"/>
    <w:rsid w:val="0099031E"/>
    <w:rsid w:val="009A15CC"/>
    <w:rsid w:val="009A67D5"/>
    <w:rsid w:val="00A1656F"/>
    <w:rsid w:val="00A32FB3"/>
    <w:rsid w:val="00A414C7"/>
    <w:rsid w:val="00A4174B"/>
    <w:rsid w:val="00A855DB"/>
    <w:rsid w:val="00AE03F5"/>
    <w:rsid w:val="00AE1383"/>
    <w:rsid w:val="00B4249F"/>
    <w:rsid w:val="00B730BF"/>
    <w:rsid w:val="00B94A9E"/>
    <w:rsid w:val="00BB0096"/>
    <w:rsid w:val="00BD115E"/>
    <w:rsid w:val="00BF580A"/>
    <w:rsid w:val="00BF59CB"/>
    <w:rsid w:val="00C106A4"/>
    <w:rsid w:val="00C155CA"/>
    <w:rsid w:val="00C50918"/>
    <w:rsid w:val="00C50B02"/>
    <w:rsid w:val="00C63664"/>
    <w:rsid w:val="00CB3134"/>
    <w:rsid w:val="00CE202E"/>
    <w:rsid w:val="00CE6B44"/>
    <w:rsid w:val="00CF15A6"/>
    <w:rsid w:val="00D13FDC"/>
    <w:rsid w:val="00D15B11"/>
    <w:rsid w:val="00D31A03"/>
    <w:rsid w:val="00D33E94"/>
    <w:rsid w:val="00D34989"/>
    <w:rsid w:val="00D54F29"/>
    <w:rsid w:val="00D669DD"/>
    <w:rsid w:val="00DA7916"/>
    <w:rsid w:val="00DB5A11"/>
    <w:rsid w:val="00DC0B35"/>
    <w:rsid w:val="00DE5AAE"/>
    <w:rsid w:val="00E14437"/>
    <w:rsid w:val="00E21F6F"/>
    <w:rsid w:val="00E504C3"/>
    <w:rsid w:val="00E54038"/>
    <w:rsid w:val="00EB17DF"/>
    <w:rsid w:val="00EC71B4"/>
    <w:rsid w:val="00EF15CF"/>
    <w:rsid w:val="00F012A5"/>
    <w:rsid w:val="00F061A0"/>
    <w:rsid w:val="00F078DB"/>
    <w:rsid w:val="00F27B6C"/>
    <w:rsid w:val="00F41A15"/>
    <w:rsid w:val="00F56DB4"/>
    <w:rsid w:val="00F6396E"/>
    <w:rsid w:val="00FC6A37"/>
    <w:rsid w:val="00FD1FDD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C5637-8B72-4ADB-B231-627DEC6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0AB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BB"/>
  </w:style>
  <w:style w:type="paragraph" w:styleId="Piedepgina">
    <w:name w:val="footer"/>
    <w:basedOn w:val="Normal"/>
    <w:link w:val="Piedepgina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BB"/>
  </w:style>
  <w:style w:type="character" w:customStyle="1" w:styleId="Ttulo1Car">
    <w:name w:val="Título 1 Car"/>
    <w:basedOn w:val="Fuentedeprrafopredeter"/>
    <w:link w:val="Ttulo1"/>
    <w:rsid w:val="00390ABB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17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2</cp:revision>
  <cp:lastPrinted>2017-07-14T16:34:00Z</cp:lastPrinted>
  <dcterms:created xsi:type="dcterms:W3CDTF">2020-02-13T15:04:00Z</dcterms:created>
  <dcterms:modified xsi:type="dcterms:W3CDTF">2020-02-13T15:04:00Z</dcterms:modified>
</cp:coreProperties>
</file>