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273F5" w14:textId="42F5FC9C" w:rsidR="0016703E" w:rsidRDefault="0016703E" w:rsidP="0016703E">
      <w:pPr>
        <w:pStyle w:val="Ttulo1"/>
        <w:spacing w:before="0" w:beforeAutospacing="0" w:after="0" w:afterAutospacing="0"/>
        <w:rPr>
          <w:rFonts w:ascii="Century Gothic" w:eastAsia="Arial" w:hAnsi="Century Gothic" w:cs="Arial"/>
          <w:sz w:val="24"/>
          <w:szCs w:val="24"/>
        </w:rPr>
      </w:pPr>
      <w:r>
        <w:rPr>
          <w:rFonts w:ascii="Century Gothic" w:eastAsia="Arial" w:hAnsi="Century Gothic" w:cs="Arial"/>
          <w:sz w:val="24"/>
          <w:szCs w:val="24"/>
        </w:rPr>
        <w:t>INTRODUCCIÓN</w:t>
      </w:r>
    </w:p>
    <w:p w14:paraId="089F6D37" w14:textId="77777777" w:rsidR="0016703E" w:rsidRPr="0016703E" w:rsidRDefault="0016703E" w:rsidP="0016703E">
      <w:pPr>
        <w:pStyle w:val="Ttulo1"/>
        <w:spacing w:before="0" w:beforeAutospacing="0" w:after="0" w:afterAutospacing="0"/>
        <w:rPr>
          <w:rFonts w:ascii="Century Gothic" w:eastAsia="Arial" w:hAnsi="Century Gothic" w:cs="Arial"/>
          <w:sz w:val="24"/>
          <w:szCs w:val="24"/>
        </w:rPr>
      </w:pPr>
    </w:p>
    <w:p w14:paraId="39D3182F" w14:textId="77777777" w:rsidR="00F2150C" w:rsidRDefault="00D84AD5" w:rsidP="0016703E">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El Síndrome de Intestino Irritable SII es una condición orgánica de origen multifactorial, caracterizada principalmente por el dolor abdominal y cambio en el patrón defecatorio.</w:t>
      </w:r>
    </w:p>
    <w:p w14:paraId="06A2A902" w14:textId="77777777" w:rsidR="0016703E" w:rsidRPr="0016703E" w:rsidRDefault="0016703E" w:rsidP="0016703E">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Century Gothic" w:eastAsia="Arial" w:hAnsi="Century Gothic" w:cs="Arial"/>
          <w:sz w:val="24"/>
          <w:szCs w:val="24"/>
          <w:highlight w:val="yellow"/>
        </w:rPr>
      </w:pPr>
    </w:p>
    <w:p w14:paraId="72538CA7" w14:textId="77777777" w:rsidR="00F2150C" w:rsidRPr="0016703E" w:rsidRDefault="00D84AD5" w:rsidP="0016703E">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 xml:space="preserve">Este síndrome impacta considerablemente la calidad de vida de las personas, generando interferencias en actividades cotidianas como la alimentación, el descanso, el trabajo y las relaciones sexuales, lo que resulta una preocupación constante por la salud. </w:t>
      </w:r>
    </w:p>
    <w:p w14:paraId="0A47CABF" w14:textId="77777777" w:rsidR="00F2150C" w:rsidRPr="0016703E" w:rsidRDefault="00D84AD5" w:rsidP="0016703E">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Según cuestionarios estandarizados, la calidad de vida de las personas con este síndrome es inferior incluso a la de pacientes con enfermedades crónicas como el reflujo gastroesofágico, la hepatitis, diabetes, migraña y pancreatitis crónica. Estos pacientes también presentan niveles más altos de ansiedad, depresión y somatización, así como una menor vitalidad y autoestima, lo que puede limitar su expresión emocional y su participación en actividades sociales.</w:t>
      </w:r>
    </w:p>
    <w:p w14:paraId="7F39C066" w14:textId="77777777" w:rsidR="00F2150C" w:rsidRPr="0016703E" w:rsidRDefault="00D84AD5" w:rsidP="0016703E">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Además de los impactos en la calidad de vida, estudios, incluyendo algunos realizados en nuestro país, muestran importantes implicaciones socioeconómicas. En promedio, los pacientes con Síndrome de Intestino Irritable se ausentan del trabajo o los estudios entre 8.5 y 21.6 días al año.</w:t>
      </w:r>
    </w:p>
    <w:p w14:paraId="6597000A" w14:textId="77777777" w:rsidR="00F2150C" w:rsidRPr="0016703E" w:rsidRDefault="00D84AD5" w:rsidP="0016703E">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El diagnóstico de este síndrome suele requerir múltiples consultas médicas, con un promedio de cinco estudios previos por paciente.</w:t>
      </w:r>
    </w:p>
    <w:p w14:paraId="6CE96A8E" w14:textId="77777777" w:rsidR="00F2150C" w:rsidRDefault="00D84AD5" w:rsidP="0016703E">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 xml:space="preserve">Por tanto, elaborar una guía basada en evidencia científica para el personal de salud de la Universidad, que facilite el diagnóstico temprano y el inicio oportuno del </w:t>
      </w:r>
      <w:sdt>
        <w:sdtPr>
          <w:rPr>
            <w:rFonts w:ascii="Century Gothic" w:hAnsi="Century Gothic"/>
            <w:sz w:val="24"/>
            <w:szCs w:val="24"/>
          </w:rPr>
          <w:tag w:val="goog_rdk_1"/>
          <w:id w:val="-2079666874"/>
        </w:sdtPr>
        <w:sdtEndPr/>
        <w:sdtContent/>
      </w:sdt>
      <w:r w:rsidRPr="0016703E">
        <w:rPr>
          <w:rFonts w:ascii="Century Gothic" w:eastAsia="Arial" w:hAnsi="Century Gothic" w:cs="Arial"/>
          <w:sz w:val="24"/>
          <w:szCs w:val="24"/>
        </w:rPr>
        <w:t>tratamiento adecuado, contribuirá significativamente a mejorar la calidad de vida de la comunidad universitaria.</w:t>
      </w:r>
    </w:p>
    <w:p w14:paraId="0530BD0C" w14:textId="77777777" w:rsidR="0016703E" w:rsidRDefault="0016703E" w:rsidP="0016703E">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Century Gothic" w:eastAsia="Arial" w:hAnsi="Century Gothic" w:cs="Arial"/>
          <w:sz w:val="24"/>
          <w:szCs w:val="24"/>
        </w:rPr>
      </w:pPr>
    </w:p>
    <w:p w14:paraId="10BDF22B" w14:textId="77777777" w:rsidR="0016703E" w:rsidRPr="0016703E" w:rsidRDefault="0016703E" w:rsidP="0016703E">
      <w:pPr>
        <w:pStyle w:val="Ttulo1"/>
        <w:spacing w:before="0" w:beforeAutospacing="0" w:after="0" w:afterAutospacing="0"/>
        <w:rPr>
          <w:rFonts w:ascii="Century Gothic" w:eastAsia="Arial" w:hAnsi="Century Gothic" w:cs="Arial"/>
          <w:sz w:val="24"/>
          <w:szCs w:val="24"/>
        </w:rPr>
      </w:pPr>
      <w:r w:rsidRPr="0016703E">
        <w:rPr>
          <w:rFonts w:ascii="Century Gothic" w:eastAsia="Arial" w:hAnsi="Century Gothic" w:cs="Arial"/>
          <w:sz w:val="24"/>
          <w:szCs w:val="24"/>
        </w:rPr>
        <w:t xml:space="preserve">OBJETIVO </w:t>
      </w:r>
    </w:p>
    <w:p w14:paraId="62000CD9" w14:textId="77777777" w:rsidR="0016703E" w:rsidRPr="0016703E" w:rsidRDefault="00F574A1"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sdt>
        <w:sdtPr>
          <w:rPr>
            <w:rFonts w:ascii="Century Gothic" w:hAnsi="Century Gothic"/>
            <w:sz w:val="24"/>
            <w:szCs w:val="24"/>
          </w:rPr>
          <w:tag w:val="goog_rdk_0"/>
          <w:id w:val="-58094947"/>
        </w:sdtPr>
        <w:sdtEndPr/>
        <w:sdtContent/>
      </w:sdt>
    </w:p>
    <w:p w14:paraId="36F9C7A2" w14:textId="77777777" w:rsidR="0016703E" w:rsidRPr="0016703E" w:rsidRDefault="0016703E"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color w:val="0D0D0D"/>
          <w:sz w:val="24"/>
          <w:szCs w:val="24"/>
          <w:highlight w:val="white"/>
        </w:rPr>
        <w:t>Esta guía tiene como objetivo orientar al personal de salud que brinda servicios de atención en la Universidad Católica de Manizales para abordar de manera adecuada el síndrome de intestino irritable.</w:t>
      </w:r>
    </w:p>
    <w:p w14:paraId="2860482F" w14:textId="77777777" w:rsidR="0016703E" w:rsidRPr="0016703E" w:rsidRDefault="0016703E" w:rsidP="0016703E">
      <w:pPr>
        <w:pBdr>
          <w:top w:val="none" w:sz="0" w:space="0" w:color="E3E3E3"/>
          <w:left w:val="none" w:sz="0" w:space="0" w:color="E3E3E3"/>
          <w:bottom w:val="none" w:sz="0" w:space="0" w:color="E3E3E3"/>
          <w:right w:val="none" w:sz="0" w:space="0" w:color="E3E3E3"/>
          <w:between w:val="none" w:sz="0" w:space="0" w:color="E3E3E3"/>
        </w:pBdr>
        <w:spacing w:after="0" w:line="240" w:lineRule="auto"/>
        <w:jc w:val="both"/>
        <w:rPr>
          <w:rFonts w:ascii="Century Gothic" w:eastAsia="Arial" w:hAnsi="Century Gothic" w:cs="Arial"/>
          <w:sz w:val="24"/>
          <w:szCs w:val="24"/>
          <w:highlight w:val="yellow"/>
        </w:rPr>
      </w:pPr>
    </w:p>
    <w:p w14:paraId="51A9AB24" w14:textId="77777777" w:rsidR="00F2150C" w:rsidRPr="0016703E" w:rsidRDefault="00F2150C" w:rsidP="0016703E">
      <w:pPr>
        <w:spacing w:after="0" w:line="240" w:lineRule="auto"/>
        <w:jc w:val="both"/>
        <w:rPr>
          <w:rFonts w:ascii="Century Gothic" w:eastAsia="Arial" w:hAnsi="Century Gothic" w:cs="Arial"/>
          <w:sz w:val="24"/>
          <w:szCs w:val="24"/>
        </w:rPr>
      </w:pPr>
    </w:p>
    <w:p w14:paraId="75177119" w14:textId="77777777" w:rsidR="00F2150C" w:rsidRDefault="00D84AD5" w:rsidP="0016703E">
      <w:pPr>
        <w:pStyle w:val="Ttulo1"/>
        <w:spacing w:before="0" w:beforeAutospacing="0" w:after="0" w:afterAutospacing="0"/>
        <w:rPr>
          <w:rFonts w:ascii="Century Gothic" w:eastAsia="Arial" w:hAnsi="Century Gothic" w:cs="Arial"/>
          <w:sz w:val="24"/>
          <w:szCs w:val="24"/>
        </w:rPr>
      </w:pPr>
      <w:bookmarkStart w:id="0" w:name="_heading=h.1fob9te" w:colFirst="0" w:colLast="0"/>
      <w:bookmarkEnd w:id="0"/>
      <w:r w:rsidRPr="0016703E">
        <w:rPr>
          <w:rFonts w:ascii="Century Gothic" w:eastAsia="Arial" w:hAnsi="Century Gothic" w:cs="Arial"/>
          <w:sz w:val="24"/>
          <w:szCs w:val="24"/>
        </w:rPr>
        <w:t>ALCANCE</w:t>
      </w:r>
    </w:p>
    <w:p w14:paraId="6A6A14F8" w14:textId="77777777" w:rsidR="00B51E8F" w:rsidRPr="0016703E" w:rsidRDefault="00B51E8F" w:rsidP="0016703E">
      <w:pPr>
        <w:pStyle w:val="Ttulo1"/>
        <w:spacing w:before="0" w:beforeAutospacing="0" w:after="0" w:afterAutospacing="0"/>
        <w:rPr>
          <w:rFonts w:ascii="Century Gothic" w:eastAsia="Arial" w:hAnsi="Century Gothic" w:cs="Arial"/>
          <w:sz w:val="24"/>
          <w:szCs w:val="24"/>
        </w:rPr>
      </w:pPr>
    </w:p>
    <w:p w14:paraId="1F5AB0F0" w14:textId="77777777" w:rsidR="00F2150C" w:rsidRDefault="00D84AD5" w:rsidP="0016703E">
      <w:pPr>
        <w:spacing w:after="0" w:line="240" w:lineRule="auto"/>
        <w:jc w:val="both"/>
        <w:rPr>
          <w:rFonts w:ascii="Century Gothic" w:eastAsia="Arial" w:hAnsi="Century Gothic" w:cs="Arial"/>
          <w:color w:val="0D0D0D"/>
          <w:sz w:val="24"/>
          <w:szCs w:val="24"/>
          <w:highlight w:val="white"/>
        </w:rPr>
      </w:pPr>
      <w:r w:rsidRPr="0016703E">
        <w:rPr>
          <w:rFonts w:ascii="Century Gothic" w:eastAsia="Arial" w:hAnsi="Century Gothic" w:cs="Arial"/>
          <w:color w:val="0D0D0D"/>
          <w:sz w:val="24"/>
          <w:szCs w:val="24"/>
          <w:highlight w:val="white"/>
        </w:rPr>
        <w:lastRenderedPageBreak/>
        <w:t>Esta guía es pertinente para la población adolescente, joven y adulta, sin importar su sexo, raza, origen o situación social. Está destinada para aquellos que utilizan los servicios médicos de la universidad, y las intervenciones sugeridas deben ser implementadas por todos los profesionales responsables de su atención.</w:t>
      </w:r>
    </w:p>
    <w:p w14:paraId="761D97D4" w14:textId="77777777" w:rsidR="00B51E8F" w:rsidRDefault="00B51E8F" w:rsidP="0016703E">
      <w:pPr>
        <w:spacing w:after="0" w:line="240" w:lineRule="auto"/>
        <w:jc w:val="both"/>
        <w:rPr>
          <w:rFonts w:ascii="Century Gothic" w:eastAsia="Arial" w:hAnsi="Century Gothic" w:cs="Arial"/>
          <w:color w:val="0D0D0D"/>
          <w:sz w:val="24"/>
          <w:szCs w:val="24"/>
          <w:highlight w:val="white"/>
        </w:rPr>
      </w:pPr>
    </w:p>
    <w:p w14:paraId="5FBD4589" w14:textId="2525CFBE" w:rsidR="00B51E8F" w:rsidRDefault="00B51E8F" w:rsidP="0016703E">
      <w:pPr>
        <w:spacing w:after="0" w:line="240" w:lineRule="auto"/>
        <w:jc w:val="both"/>
        <w:rPr>
          <w:rFonts w:ascii="Century Gothic" w:eastAsia="Arial" w:hAnsi="Century Gothic" w:cs="Arial"/>
          <w:b/>
          <w:bCs/>
          <w:color w:val="0D0D0D"/>
          <w:sz w:val="24"/>
          <w:szCs w:val="24"/>
          <w:highlight w:val="white"/>
        </w:rPr>
      </w:pPr>
      <w:r w:rsidRPr="00B51E8F">
        <w:rPr>
          <w:rFonts w:ascii="Century Gothic" w:eastAsia="Arial" w:hAnsi="Century Gothic" w:cs="Arial"/>
          <w:b/>
          <w:bCs/>
          <w:color w:val="0D0D0D"/>
          <w:sz w:val="24"/>
          <w:szCs w:val="24"/>
          <w:highlight w:val="white"/>
        </w:rPr>
        <w:t xml:space="preserve">RESPONSABLE </w:t>
      </w:r>
    </w:p>
    <w:p w14:paraId="1DD723E1" w14:textId="77777777" w:rsidR="00B51E8F" w:rsidRDefault="00B51E8F" w:rsidP="0016703E">
      <w:pPr>
        <w:spacing w:after="0" w:line="240" w:lineRule="auto"/>
        <w:jc w:val="both"/>
        <w:rPr>
          <w:rFonts w:ascii="Century Gothic" w:eastAsia="Arial" w:hAnsi="Century Gothic" w:cs="Arial"/>
          <w:b/>
          <w:bCs/>
          <w:color w:val="0D0D0D"/>
          <w:sz w:val="24"/>
          <w:szCs w:val="24"/>
          <w:highlight w:val="white"/>
        </w:rPr>
      </w:pPr>
    </w:p>
    <w:p w14:paraId="3E89EA2C" w14:textId="4EF5B854" w:rsidR="00B51E8F" w:rsidRPr="00B51E8F" w:rsidRDefault="00B51E8F" w:rsidP="0016703E">
      <w:pPr>
        <w:spacing w:after="0" w:line="240" w:lineRule="auto"/>
        <w:jc w:val="both"/>
        <w:rPr>
          <w:rFonts w:ascii="Century Gothic" w:eastAsia="Arial" w:hAnsi="Century Gothic" w:cs="Arial"/>
          <w:color w:val="0D0D0D"/>
          <w:sz w:val="24"/>
          <w:szCs w:val="24"/>
          <w:highlight w:val="white"/>
        </w:rPr>
      </w:pPr>
      <w:r w:rsidRPr="00B51E8F">
        <w:rPr>
          <w:rFonts w:ascii="Century Gothic" w:eastAsia="Arial" w:hAnsi="Century Gothic" w:cs="Arial"/>
          <w:color w:val="0D0D0D"/>
          <w:sz w:val="24"/>
          <w:szCs w:val="24"/>
          <w:highlight w:val="white"/>
        </w:rPr>
        <w:t xml:space="preserve">Medico de los servicios de salud. </w:t>
      </w:r>
    </w:p>
    <w:p w14:paraId="7542AD8B" w14:textId="77777777" w:rsidR="00F2150C" w:rsidRPr="0016703E" w:rsidRDefault="00F2150C" w:rsidP="0016703E">
      <w:pPr>
        <w:spacing w:after="0" w:line="240" w:lineRule="auto"/>
        <w:jc w:val="both"/>
        <w:rPr>
          <w:rFonts w:ascii="Century Gothic" w:eastAsia="Arial" w:hAnsi="Century Gothic" w:cs="Arial"/>
          <w:sz w:val="24"/>
          <w:szCs w:val="24"/>
        </w:rPr>
      </w:pPr>
    </w:p>
    <w:p w14:paraId="1A089CD8" w14:textId="77777777" w:rsidR="00F2150C" w:rsidRDefault="00D84AD5" w:rsidP="0016703E">
      <w:pPr>
        <w:pStyle w:val="Ttulo1"/>
        <w:spacing w:before="0" w:beforeAutospacing="0" w:after="0" w:afterAutospacing="0"/>
        <w:rPr>
          <w:rFonts w:ascii="Century Gothic" w:eastAsia="Arial" w:hAnsi="Century Gothic" w:cs="Arial"/>
          <w:sz w:val="24"/>
          <w:szCs w:val="24"/>
        </w:rPr>
      </w:pPr>
      <w:bookmarkStart w:id="1" w:name="_heading=h.3znysh7" w:colFirst="0" w:colLast="0"/>
      <w:bookmarkEnd w:id="1"/>
      <w:r w:rsidRPr="0016703E">
        <w:rPr>
          <w:rFonts w:ascii="Century Gothic" w:eastAsia="Arial" w:hAnsi="Century Gothic" w:cs="Arial"/>
          <w:sz w:val="24"/>
          <w:szCs w:val="24"/>
        </w:rPr>
        <w:t>DEFINICIÓN</w:t>
      </w:r>
    </w:p>
    <w:p w14:paraId="35FA898B" w14:textId="77777777" w:rsidR="00B51E8F" w:rsidRPr="0016703E" w:rsidRDefault="00B51E8F" w:rsidP="0016703E">
      <w:pPr>
        <w:pStyle w:val="Ttulo1"/>
        <w:spacing w:before="0" w:beforeAutospacing="0" w:after="0" w:afterAutospacing="0"/>
        <w:rPr>
          <w:rFonts w:ascii="Century Gothic" w:eastAsia="Arial" w:hAnsi="Century Gothic" w:cs="Arial"/>
          <w:sz w:val="24"/>
          <w:szCs w:val="24"/>
        </w:rPr>
      </w:pPr>
    </w:p>
    <w:p w14:paraId="5775BAF2" w14:textId="77777777" w:rsidR="00F2150C" w:rsidRDefault="00F574A1" w:rsidP="0016703E">
      <w:pPr>
        <w:pStyle w:val="Ttulo1"/>
        <w:spacing w:before="0" w:beforeAutospacing="0" w:after="0" w:afterAutospacing="0"/>
        <w:jc w:val="both"/>
        <w:rPr>
          <w:rFonts w:ascii="Century Gothic" w:eastAsia="Arial" w:hAnsi="Century Gothic" w:cs="Arial"/>
          <w:b w:val="0"/>
          <w:color w:val="000000"/>
          <w:sz w:val="24"/>
          <w:szCs w:val="24"/>
        </w:rPr>
      </w:pPr>
      <w:sdt>
        <w:sdtPr>
          <w:rPr>
            <w:rFonts w:ascii="Century Gothic" w:hAnsi="Century Gothic"/>
            <w:sz w:val="24"/>
            <w:szCs w:val="24"/>
          </w:rPr>
          <w:tag w:val="goog_rdk_2"/>
          <w:id w:val="303665003"/>
        </w:sdtPr>
        <w:sdtEndPr/>
        <w:sdtContent/>
      </w:sdt>
      <w:r w:rsidR="00D84AD5" w:rsidRPr="0016703E">
        <w:rPr>
          <w:rFonts w:ascii="Century Gothic" w:eastAsia="Arial" w:hAnsi="Century Gothic" w:cs="Arial"/>
          <w:b w:val="0"/>
          <w:color w:val="000000"/>
          <w:sz w:val="24"/>
          <w:szCs w:val="24"/>
        </w:rPr>
        <w:t xml:space="preserve">El síndrome del intestino irritable (SII) es una enfermedad crónica, orgánica, multifactorial, con un impacto negativo en la calidad de vida; antes se consideraba un trastorno funcional digestivo, sin embargo, el </w:t>
      </w:r>
      <w:r w:rsidR="00D84AD5" w:rsidRPr="0016703E">
        <w:rPr>
          <w:rFonts w:ascii="Century Gothic" w:eastAsia="Arial" w:hAnsi="Century Gothic" w:cs="Arial"/>
          <w:b w:val="0"/>
          <w:sz w:val="24"/>
          <w:szCs w:val="24"/>
        </w:rPr>
        <w:t>término</w:t>
      </w:r>
      <w:r w:rsidR="00D84AD5" w:rsidRPr="0016703E">
        <w:rPr>
          <w:rFonts w:ascii="Century Gothic" w:eastAsia="Arial" w:hAnsi="Century Gothic" w:cs="Arial"/>
          <w:b w:val="0"/>
          <w:color w:val="000000"/>
          <w:sz w:val="24"/>
          <w:szCs w:val="24"/>
        </w:rPr>
        <w:t xml:space="preserve"> funcional fue reemplazado por orgánico debido a su interpretación. El SII es caracterizado por dolor abdominal crónico y alteraciones en el hábito deposicional sea en frecuencia y/o consistencia (1). </w:t>
      </w:r>
    </w:p>
    <w:p w14:paraId="06BC8AA5" w14:textId="77777777" w:rsidR="00B51E8F" w:rsidRPr="0016703E" w:rsidRDefault="00B51E8F" w:rsidP="0016703E">
      <w:pPr>
        <w:pStyle w:val="Ttulo1"/>
        <w:spacing w:before="0" w:beforeAutospacing="0" w:after="0" w:afterAutospacing="0"/>
        <w:jc w:val="both"/>
        <w:rPr>
          <w:rFonts w:ascii="Century Gothic" w:eastAsia="Arial" w:hAnsi="Century Gothic" w:cs="Arial"/>
          <w:b w:val="0"/>
          <w:color w:val="000000"/>
          <w:sz w:val="24"/>
          <w:szCs w:val="24"/>
        </w:rPr>
      </w:pPr>
    </w:p>
    <w:p w14:paraId="5A91C3C2" w14:textId="77777777" w:rsidR="00F2150C" w:rsidRDefault="00D84AD5" w:rsidP="0016703E">
      <w:pPr>
        <w:pStyle w:val="Ttulo1"/>
        <w:spacing w:before="0" w:beforeAutospacing="0" w:after="0" w:afterAutospacing="0"/>
        <w:jc w:val="both"/>
        <w:rPr>
          <w:rFonts w:ascii="Century Gothic" w:eastAsia="Arial" w:hAnsi="Century Gothic" w:cs="Arial"/>
          <w:b w:val="0"/>
          <w:color w:val="000000"/>
          <w:sz w:val="24"/>
          <w:szCs w:val="24"/>
        </w:rPr>
      </w:pPr>
      <w:r w:rsidRPr="0016703E">
        <w:rPr>
          <w:rFonts w:ascii="Century Gothic" w:eastAsia="Arial" w:hAnsi="Century Gothic" w:cs="Arial"/>
          <w:b w:val="0"/>
          <w:color w:val="000000"/>
          <w:sz w:val="24"/>
          <w:szCs w:val="24"/>
        </w:rPr>
        <w:t>Estudios muestran un aumento de linfocitos intraepiteliales y mastocitos en el colon de pacientes con SII, sugiriendo que la microinflamación podría contribuir a la hipersensibilidad de las terminaciones nerviosas intestinales, exacerbando los síntomas; considerando el SII como un trastorno de la interacción del eje intestino cerebro.</w:t>
      </w:r>
    </w:p>
    <w:p w14:paraId="7718B5B0" w14:textId="77777777" w:rsidR="00B51E8F" w:rsidRPr="0016703E" w:rsidRDefault="00B51E8F" w:rsidP="0016703E">
      <w:pPr>
        <w:pStyle w:val="Ttulo1"/>
        <w:spacing w:before="0" w:beforeAutospacing="0" w:after="0" w:afterAutospacing="0"/>
        <w:jc w:val="both"/>
        <w:rPr>
          <w:rFonts w:ascii="Century Gothic" w:eastAsia="Arial" w:hAnsi="Century Gothic" w:cs="Arial"/>
          <w:b w:val="0"/>
          <w:color w:val="000000"/>
          <w:sz w:val="24"/>
          <w:szCs w:val="24"/>
        </w:rPr>
      </w:pPr>
    </w:p>
    <w:p w14:paraId="250FCE42" w14:textId="77777777" w:rsidR="00F2150C" w:rsidRDefault="00D84AD5" w:rsidP="0016703E">
      <w:pPr>
        <w:pStyle w:val="Ttulo1"/>
        <w:spacing w:before="0" w:beforeAutospacing="0" w:after="0" w:afterAutospacing="0"/>
        <w:jc w:val="both"/>
        <w:rPr>
          <w:rFonts w:ascii="Century Gothic" w:eastAsia="Arial" w:hAnsi="Century Gothic" w:cs="Arial"/>
          <w:b w:val="0"/>
          <w:color w:val="000000"/>
          <w:sz w:val="24"/>
          <w:szCs w:val="24"/>
        </w:rPr>
      </w:pPr>
      <w:r w:rsidRPr="0016703E">
        <w:rPr>
          <w:rFonts w:ascii="Century Gothic" w:eastAsia="Arial" w:hAnsi="Century Gothic" w:cs="Arial"/>
          <w:b w:val="0"/>
          <w:color w:val="000000"/>
          <w:sz w:val="24"/>
          <w:szCs w:val="24"/>
        </w:rPr>
        <w:t>Dentro de las alteraciones orgánicas en el SII se encuentran las siguientes: Alteración de la motilidad gastrointestinal, hipersensibilidad visceral, inflamación intestinal de bajo grado, infecciones gastrointestinales previas, alteraciones genéticas y epigenéticas, alteración de la absorción de sales biliares, alteración del microbioma, sobrecrecimiento bacteriano del intestino delgado, respuesta inmunológica anormal a componentes de la dieta, alteración de la interacción del eje intestino cerebro, activación del sistema inmune y autoinmunidad (1).</w:t>
      </w:r>
    </w:p>
    <w:p w14:paraId="1A3FE411" w14:textId="77777777" w:rsidR="00B51E8F" w:rsidRPr="0016703E" w:rsidRDefault="00B51E8F" w:rsidP="0016703E">
      <w:pPr>
        <w:pStyle w:val="Ttulo1"/>
        <w:spacing w:before="0" w:beforeAutospacing="0" w:after="0" w:afterAutospacing="0"/>
        <w:jc w:val="both"/>
        <w:rPr>
          <w:rFonts w:ascii="Century Gothic" w:eastAsia="Arial" w:hAnsi="Century Gothic" w:cs="Arial"/>
          <w:b w:val="0"/>
          <w:color w:val="000000"/>
          <w:sz w:val="24"/>
          <w:szCs w:val="24"/>
        </w:rPr>
      </w:pPr>
    </w:p>
    <w:p w14:paraId="6A687937" w14:textId="77777777" w:rsidR="00F2150C" w:rsidRPr="0016703E" w:rsidRDefault="00D84AD5" w:rsidP="0016703E">
      <w:pPr>
        <w:pStyle w:val="Ttulo1"/>
        <w:spacing w:before="0" w:beforeAutospacing="0" w:after="0" w:afterAutospacing="0"/>
        <w:jc w:val="both"/>
        <w:rPr>
          <w:rFonts w:ascii="Century Gothic" w:eastAsia="Arial" w:hAnsi="Century Gothic" w:cs="Arial"/>
          <w:b w:val="0"/>
          <w:color w:val="000000"/>
          <w:sz w:val="24"/>
          <w:szCs w:val="24"/>
        </w:rPr>
      </w:pPr>
      <w:r w:rsidRPr="0016703E">
        <w:rPr>
          <w:rFonts w:ascii="Century Gothic" w:eastAsia="Arial" w:hAnsi="Century Gothic" w:cs="Arial"/>
          <w:b w:val="0"/>
          <w:color w:val="000000"/>
          <w:sz w:val="24"/>
          <w:szCs w:val="24"/>
        </w:rPr>
        <w:t>Aunque no se comprenden completamente los cambios detectados en los exámenes diagnósticos, el SII se subdivide según el síntoma predominante: constipación, diarrea, alternancia entre ambos (SII mixto) o deposiciones que no se clasifican como diarrea ni estreñimiento (SII indeterminado) (2,3).</w:t>
      </w:r>
    </w:p>
    <w:p w14:paraId="44FF1882" w14:textId="77777777" w:rsidR="00F2150C" w:rsidRPr="0016703E" w:rsidRDefault="00D84AD5" w:rsidP="0016703E">
      <w:pPr>
        <w:pStyle w:val="Ttulo1"/>
        <w:spacing w:before="0" w:beforeAutospacing="0" w:after="0" w:afterAutospacing="0"/>
        <w:jc w:val="both"/>
        <w:rPr>
          <w:rFonts w:ascii="Century Gothic" w:eastAsia="Arial" w:hAnsi="Century Gothic" w:cs="Arial"/>
          <w:b w:val="0"/>
          <w:color w:val="000000"/>
          <w:sz w:val="24"/>
          <w:szCs w:val="24"/>
        </w:rPr>
      </w:pPr>
      <w:r w:rsidRPr="0016703E">
        <w:rPr>
          <w:rFonts w:ascii="Century Gothic" w:eastAsia="Arial" w:hAnsi="Century Gothic" w:cs="Arial"/>
          <w:b w:val="0"/>
          <w:color w:val="000000"/>
          <w:sz w:val="24"/>
          <w:szCs w:val="24"/>
        </w:rPr>
        <w:lastRenderedPageBreak/>
        <w:t>La etiología del SII generalmente es desconocida, pero puede estar relacionada con antecedentes de estrés o una gastroenteritis aguda, y factores genéticos y ambientales también pueden influir en su desarrollo. El impacto en la vida del paciente es significativo, siendo la segunda causa más común de ausentismo laboral.</w:t>
      </w:r>
    </w:p>
    <w:p w14:paraId="095C11CA" w14:textId="77777777" w:rsidR="00F2150C" w:rsidRDefault="00D84AD5" w:rsidP="0016703E">
      <w:pPr>
        <w:pStyle w:val="Ttulo1"/>
        <w:spacing w:before="0" w:beforeAutospacing="0" w:after="0" w:afterAutospacing="0"/>
        <w:jc w:val="both"/>
        <w:rPr>
          <w:rFonts w:ascii="Century Gothic" w:eastAsia="Arial" w:hAnsi="Century Gothic" w:cs="Arial"/>
          <w:b w:val="0"/>
          <w:color w:val="000000"/>
          <w:sz w:val="24"/>
          <w:szCs w:val="24"/>
        </w:rPr>
      </w:pPr>
      <w:r w:rsidRPr="0016703E">
        <w:rPr>
          <w:rFonts w:ascii="Century Gothic" w:eastAsia="Arial" w:hAnsi="Century Gothic" w:cs="Arial"/>
          <w:b w:val="0"/>
          <w:sz w:val="24"/>
          <w:szCs w:val="24"/>
        </w:rPr>
        <w:t xml:space="preserve">A nivel mundial la prevalencia de SII es de 10-15% y a nivel nacional del 4,3%, </w:t>
      </w:r>
      <w:r w:rsidRPr="0016703E">
        <w:rPr>
          <w:rFonts w:ascii="Century Gothic" w:eastAsia="Arial" w:hAnsi="Century Gothic" w:cs="Arial"/>
          <w:b w:val="0"/>
          <w:color w:val="000000"/>
          <w:sz w:val="24"/>
          <w:szCs w:val="24"/>
        </w:rPr>
        <w:t>con una menor incidencia en adultos mayores de 50 años y una mayor prevalencia en mujeres en comparación con hombres (4-</w:t>
      </w:r>
      <w:r w:rsidRPr="0016703E">
        <w:rPr>
          <w:rFonts w:ascii="Century Gothic" w:eastAsia="Arial" w:hAnsi="Century Gothic" w:cs="Arial"/>
          <w:b w:val="0"/>
          <w:sz w:val="24"/>
          <w:szCs w:val="24"/>
        </w:rPr>
        <w:t>7</w:t>
      </w:r>
      <w:r w:rsidRPr="0016703E">
        <w:rPr>
          <w:rFonts w:ascii="Century Gothic" w:eastAsia="Arial" w:hAnsi="Century Gothic" w:cs="Arial"/>
          <w:b w:val="0"/>
          <w:color w:val="000000"/>
          <w:sz w:val="24"/>
          <w:szCs w:val="24"/>
        </w:rPr>
        <w:t>).</w:t>
      </w:r>
    </w:p>
    <w:p w14:paraId="1B02ABBE" w14:textId="77777777" w:rsidR="00B51E8F" w:rsidRDefault="00B51E8F" w:rsidP="0016703E">
      <w:pPr>
        <w:pStyle w:val="Ttulo1"/>
        <w:spacing w:before="0" w:beforeAutospacing="0" w:after="0" w:afterAutospacing="0"/>
        <w:jc w:val="both"/>
        <w:rPr>
          <w:rFonts w:ascii="Century Gothic" w:hAnsi="Century Gothic"/>
          <w:sz w:val="24"/>
          <w:szCs w:val="24"/>
        </w:rPr>
      </w:pPr>
    </w:p>
    <w:p w14:paraId="0C9A1249" w14:textId="5DA9796D" w:rsidR="00B51E8F" w:rsidRDefault="00B51E8F" w:rsidP="0016703E">
      <w:pPr>
        <w:pStyle w:val="Ttulo1"/>
        <w:spacing w:before="0" w:beforeAutospacing="0" w:after="0" w:afterAutospacing="0"/>
        <w:jc w:val="both"/>
        <w:rPr>
          <w:rFonts w:ascii="Century Gothic" w:hAnsi="Century Gothic"/>
          <w:sz w:val="24"/>
          <w:szCs w:val="24"/>
        </w:rPr>
      </w:pPr>
      <w:r>
        <w:rPr>
          <w:rFonts w:ascii="Century Gothic" w:hAnsi="Century Gothic"/>
          <w:sz w:val="24"/>
          <w:szCs w:val="24"/>
        </w:rPr>
        <w:t xml:space="preserve">INORMACIÓN GENERAL </w:t>
      </w:r>
    </w:p>
    <w:p w14:paraId="47FCC6E8" w14:textId="77777777" w:rsidR="00B51E8F" w:rsidRPr="0016703E" w:rsidRDefault="00B51E8F" w:rsidP="0016703E">
      <w:pPr>
        <w:pStyle w:val="Ttulo1"/>
        <w:spacing w:before="0" w:beforeAutospacing="0" w:after="0" w:afterAutospacing="0"/>
        <w:jc w:val="both"/>
        <w:rPr>
          <w:rFonts w:ascii="Century Gothic" w:hAnsi="Century Gothic"/>
          <w:sz w:val="24"/>
          <w:szCs w:val="24"/>
        </w:rPr>
      </w:pPr>
    </w:p>
    <w:p w14:paraId="2C232EB4" w14:textId="77777777" w:rsidR="00F2150C" w:rsidRPr="0016703E" w:rsidRDefault="00D84AD5" w:rsidP="0016703E">
      <w:pPr>
        <w:pStyle w:val="Ttulo1"/>
        <w:spacing w:before="0" w:beforeAutospacing="0" w:after="0" w:afterAutospacing="0"/>
        <w:rPr>
          <w:rFonts w:ascii="Century Gothic" w:eastAsia="Arial" w:hAnsi="Century Gothic" w:cs="Arial"/>
          <w:sz w:val="24"/>
          <w:szCs w:val="24"/>
        </w:rPr>
      </w:pPr>
      <w:r w:rsidRPr="0016703E">
        <w:rPr>
          <w:rFonts w:ascii="Century Gothic" w:eastAsia="Arial" w:hAnsi="Century Gothic" w:cs="Arial"/>
          <w:sz w:val="24"/>
          <w:szCs w:val="24"/>
        </w:rPr>
        <w:t>SINTOMATOLOGÍA</w:t>
      </w:r>
    </w:p>
    <w:p w14:paraId="5CC36B55" w14:textId="77777777" w:rsidR="00F2150C" w:rsidRDefault="00D84AD5" w:rsidP="0016703E">
      <w:pPr>
        <w:pStyle w:val="Ttulo1"/>
        <w:spacing w:before="0" w:beforeAutospacing="0" w:after="0" w:afterAutospacing="0"/>
        <w:jc w:val="both"/>
        <w:rPr>
          <w:rFonts w:ascii="Century Gothic" w:eastAsia="Arial" w:hAnsi="Century Gothic" w:cs="Arial"/>
          <w:b w:val="0"/>
          <w:sz w:val="24"/>
          <w:szCs w:val="24"/>
        </w:rPr>
      </w:pPr>
      <w:r w:rsidRPr="0016703E">
        <w:rPr>
          <w:rFonts w:ascii="Century Gothic" w:eastAsia="Arial" w:hAnsi="Century Gothic" w:cs="Arial"/>
          <w:b w:val="0"/>
          <w:sz w:val="24"/>
          <w:szCs w:val="24"/>
        </w:rPr>
        <w:t>Los síntomas del SII deben presentarse durante los últimos tres meses con un seguimiento total de seis meses, se debe realizar una revisión completa de la historia clínica, en donde a todo paciente potencial a desarrollar SII, se le deben indagar los siguientes síntomas:</w:t>
      </w:r>
    </w:p>
    <w:p w14:paraId="58AF16C4" w14:textId="77777777" w:rsidR="00B51E8F" w:rsidRPr="0016703E" w:rsidRDefault="00B51E8F" w:rsidP="0016703E">
      <w:pPr>
        <w:pStyle w:val="Ttulo1"/>
        <w:spacing w:before="0" w:beforeAutospacing="0" w:after="0" w:afterAutospacing="0"/>
        <w:jc w:val="both"/>
        <w:rPr>
          <w:rFonts w:ascii="Century Gothic" w:eastAsia="Arial" w:hAnsi="Century Gothic" w:cs="Arial"/>
          <w:b w:val="0"/>
          <w:sz w:val="24"/>
          <w:szCs w:val="24"/>
        </w:rPr>
      </w:pPr>
    </w:p>
    <w:p w14:paraId="4FF981B5" w14:textId="77777777" w:rsidR="00F2150C" w:rsidRPr="0016703E" w:rsidRDefault="00D84AD5" w:rsidP="0016703E">
      <w:pPr>
        <w:numPr>
          <w:ilvl w:val="0"/>
          <w:numId w:val="6"/>
        </w:numPr>
        <w:pBdr>
          <w:top w:val="nil"/>
          <w:left w:val="nil"/>
          <w:bottom w:val="nil"/>
          <w:right w:val="nil"/>
          <w:between w:val="nil"/>
        </w:pBdr>
        <w:spacing w:after="0" w:line="240" w:lineRule="auto"/>
        <w:jc w:val="both"/>
        <w:rPr>
          <w:rFonts w:ascii="Century Gothic" w:eastAsia="Arial" w:hAnsi="Century Gothic" w:cs="Arial"/>
          <w:color w:val="000000"/>
          <w:sz w:val="24"/>
          <w:szCs w:val="24"/>
        </w:rPr>
      </w:pPr>
      <w:r w:rsidRPr="0016703E">
        <w:rPr>
          <w:rFonts w:ascii="Century Gothic" w:eastAsia="Arial" w:hAnsi="Century Gothic" w:cs="Arial"/>
          <w:b/>
          <w:color w:val="000000"/>
          <w:sz w:val="24"/>
          <w:szCs w:val="24"/>
        </w:rPr>
        <w:t>Dolor o malestar abdominal:</w:t>
      </w:r>
      <w:r w:rsidRPr="0016703E">
        <w:rPr>
          <w:rFonts w:ascii="Century Gothic" w:eastAsia="Arial" w:hAnsi="Century Gothic" w:cs="Arial"/>
          <w:color w:val="000000"/>
          <w:sz w:val="24"/>
          <w:szCs w:val="24"/>
        </w:rPr>
        <w:t xml:space="preserve"> El dolor o malestar abdominal es un síntoma exigido como criterio </w:t>
      </w:r>
      <w:r w:rsidRPr="0016703E">
        <w:rPr>
          <w:rFonts w:ascii="Century Gothic" w:eastAsia="Arial" w:hAnsi="Century Gothic" w:cs="Arial"/>
          <w:sz w:val="24"/>
          <w:szCs w:val="24"/>
        </w:rPr>
        <w:t>diagnóstico</w:t>
      </w:r>
      <w:r w:rsidRPr="0016703E">
        <w:rPr>
          <w:rFonts w:ascii="Century Gothic" w:eastAsia="Arial" w:hAnsi="Century Gothic" w:cs="Arial"/>
          <w:color w:val="000000"/>
          <w:sz w:val="24"/>
          <w:szCs w:val="24"/>
        </w:rPr>
        <w:t xml:space="preserve"> sin el cual no podemos hablar de SII. Suele describirse como sensación de calambres con intensidad variables y exacerbación periódica tipo cólico; la intensidad del dolor puede variar de acuerdo con la intensidad de las contracciones y es característico que el dolor se asocie con el momento de realizar la defecación bien sea para aumentarlo o para aliviarlo, de la misma manera el estrés emocional, pueden exacerbar los episodios. Por otra parte, puede presentarse distensión abdominal con aumento de las flatulencias o eructos (</w:t>
      </w:r>
      <w:r w:rsidRPr="0016703E">
        <w:rPr>
          <w:rFonts w:ascii="Century Gothic" w:eastAsia="Arial" w:hAnsi="Century Gothic" w:cs="Arial"/>
          <w:sz w:val="24"/>
          <w:szCs w:val="24"/>
        </w:rPr>
        <w:t>8-10</w:t>
      </w:r>
      <w:r w:rsidRPr="0016703E">
        <w:rPr>
          <w:rFonts w:ascii="Century Gothic" w:eastAsia="Arial" w:hAnsi="Century Gothic" w:cs="Arial"/>
          <w:color w:val="000000"/>
          <w:sz w:val="24"/>
          <w:szCs w:val="24"/>
        </w:rPr>
        <w:t>).</w:t>
      </w:r>
    </w:p>
    <w:p w14:paraId="31F1D0D3"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24E500DA" w14:textId="77777777" w:rsidR="00F2150C" w:rsidRPr="0016703E" w:rsidRDefault="00D84AD5" w:rsidP="0016703E">
      <w:pPr>
        <w:numPr>
          <w:ilvl w:val="0"/>
          <w:numId w:val="6"/>
        </w:numPr>
        <w:pBdr>
          <w:top w:val="nil"/>
          <w:left w:val="nil"/>
          <w:bottom w:val="nil"/>
          <w:right w:val="nil"/>
          <w:between w:val="nil"/>
        </w:pBdr>
        <w:spacing w:after="0" w:line="240" w:lineRule="auto"/>
        <w:jc w:val="both"/>
        <w:rPr>
          <w:rFonts w:ascii="Century Gothic" w:eastAsia="Arial" w:hAnsi="Century Gothic" w:cs="Arial"/>
          <w:color w:val="000000"/>
          <w:sz w:val="24"/>
          <w:szCs w:val="24"/>
        </w:rPr>
      </w:pPr>
      <w:r w:rsidRPr="0016703E">
        <w:rPr>
          <w:rFonts w:ascii="Century Gothic" w:eastAsia="Arial" w:hAnsi="Century Gothic" w:cs="Arial"/>
          <w:b/>
          <w:color w:val="000000"/>
          <w:sz w:val="24"/>
          <w:szCs w:val="24"/>
        </w:rPr>
        <w:t>Diarrea:</w:t>
      </w:r>
      <w:r w:rsidRPr="0016703E">
        <w:rPr>
          <w:rFonts w:ascii="Century Gothic" w:eastAsia="Arial" w:hAnsi="Century Gothic" w:cs="Arial"/>
          <w:color w:val="000000"/>
          <w:sz w:val="24"/>
          <w:szCs w:val="24"/>
        </w:rPr>
        <w:t xml:space="preserve"> La diarrea suele ser diurna, generalmente postprandial, semilíquida o líquida, acompañada en muchas ocasiones de urgencia defecatoria o tenesmo, y puede también ser precedida de dolor cólico abdominal. Este tipo de diarrea no se asocia a fiebre ni rectorragia, aunque puede existir mucorrea. Generalmente es de pequeño a moderado volumen (</w:t>
      </w:r>
      <w:r w:rsidRPr="0016703E">
        <w:rPr>
          <w:rFonts w:ascii="Century Gothic" w:eastAsia="Arial" w:hAnsi="Century Gothic" w:cs="Arial"/>
          <w:sz w:val="24"/>
          <w:szCs w:val="24"/>
        </w:rPr>
        <w:t>11</w:t>
      </w:r>
      <w:r w:rsidRPr="0016703E">
        <w:rPr>
          <w:rFonts w:ascii="Century Gothic" w:eastAsia="Arial" w:hAnsi="Century Gothic" w:cs="Arial"/>
          <w:color w:val="000000"/>
          <w:sz w:val="24"/>
          <w:szCs w:val="24"/>
        </w:rPr>
        <w:t>).</w:t>
      </w:r>
    </w:p>
    <w:p w14:paraId="005E68A4" w14:textId="77777777" w:rsidR="00F2150C" w:rsidRPr="0016703E" w:rsidRDefault="00D84AD5"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 xml:space="preserve"> </w:t>
      </w:r>
    </w:p>
    <w:p w14:paraId="40E10CF5" w14:textId="77777777" w:rsidR="00F2150C" w:rsidRPr="0016703E" w:rsidRDefault="00D84AD5" w:rsidP="0016703E">
      <w:pPr>
        <w:numPr>
          <w:ilvl w:val="0"/>
          <w:numId w:val="8"/>
        </w:numPr>
        <w:pBdr>
          <w:top w:val="nil"/>
          <w:left w:val="nil"/>
          <w:bottom w:val="nil"/>
          <w:right w:val="nil"/>
          <w:between w:val="nil"/>
        </w:pBdr>
        <w:spacing w:after="0" w:line="240" w:lineRule="auto"/>
        <w:jc w:val="both"/>
        <w:rPr>
          <w:rFonts w:ascii="Century Gothic" w:eastAsia="Arial" w:hAnsi="Century Gothic" w:cs="Arial"/>
          <w:color w:val="000000"/>
          <w:sz w:val="24"/>
          <w:szCs w:val="24"/>
        </w:rPr>
      </w:pPr>
      <w:r w:rsidRPr="0016703E">
        <w:rPr>
          <w:rFonts w:ascii="Century Gothic" w:eastAsia="Arial" w:hAnsi="Century Gothic" w:cs="Arial"/>
          <w:b/>
          <w:color w:val="000000"/>
          <w:sz w:val="24"/>
          <w:szCs w:val="24"/>
        </w:rPr>
        <w:t>Estreñimiento:</w:t>
      </w:r>
      <w:r w:rsidRPr="0016703E">
        <w:rPr>
          <w:rFonts w:ascii="Century Gothic" w:eastAsia="Arial" w:hAnsi="Century Gothic" w:cs="Arial"/>
          <w:color w:val="000000"/>
          <w:sz w:val="24"/>
          <w:szCs w:val="24"/>
        </w:rPr>
        <w:t xml:space="preserve"> El estreñimiento suele ser de heces duras como en forma de bolitas, que se eliminan con esfuerzo defecatorio, tenesmo y que se puede acompañar con mucosidad sin sangre.</w:t>
      </w:r>
    </w:p>
    <w:p w14:paraId="14BAE162" w14:textId="77777777" w:rsidR="00F2150C" w:rsidRPr="0016703E" w:rsidRDefault="00D84AD5"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r w:rsidRPr="0016703E">
        <w:rPr>
          <w:rFonts w:ascii="Century Gothic" w:eastAsia="Arial" w:hAnsi="Century Gothic" w:cs="Arial"/>
          <w:color w:val="000000"/>
          <w:sz w:val="24"/>
          <w:szCs w:val="24"/>
        </w:rPr>
        <w:lastRenderedPageBreak/>
        <w:t xml:space="preserve"> </w:t>
      </w:r>
    </w:p>
    <w:p w14:paraId="60652E50" w14:textId="77777777" w:rsidR="00F2150C" w:rsidRPr="0016703E" w:rsidRDefault="00D84AD5"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r w:rsidRPr="0016703E">
        <w:rPr>
          <w:rFonts w:ascii="Century Gothic" w:eastAsia="Arial" w:hAnsi="Century Gothic" w:cs="Arial"/>
          <w:color w:val="000000"/>
          <w:sz w:val="24"/>
          <w:szCs w:val="24"/>
        </w:rPr>
        <w:t>Cuando se interroga al paciente se debe evaluar de acuerdo con la escala de Bristol, en la cual se establecen siete tipos de deposiciones que van desde compactas en forma de bola, hasta completamente líquidas y acuosas:</w:t>
      </w:r>
    </w:p>
    <w:p w14:paraId="24AE985E"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591817CD" w14:textId="77777777" w:rsidR="00F2150C" w:rsidRPr="0016703E" w:rsidRDefault="00D84AD5"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r w:rsidRPr="0016703E">
        <w:rPr>
          <w:rFonts w:ascii="Century Gothic" w:hAnsi="Century Gothic"/>
          <w:noProof/>
          <w:sz w:val="24"/>
          <w:szCs w:val="24"/>
        </w:rPr>
        <w:drawing>
          <wp:anchor distT="0" distB="0" distL="114300" distR="114300" simplePos="0" relativeHeight="251658240" behindDoc="0" locked="0" layoutInCell="1" hidden="0" allowOverlap="1" wp14:anchorId="3C7981E6" wp14:editId="1C791778">
            <wp:simplePos x="0" y="0"/>
            <wp:positionH relativeFrom="column">
              <wp:posOffset>862965</wp:posOffset>
            </wp:positionH>
            <wp:positionV relativeFrom="paragraph">
              <wp:posOffset>15240</wp:posOffset>
            </wp:positionV>
            <wp:extent cx="3886200" cy="2990850"/>
            <wp:effectExtent l="0" t="0" r="0" b="0"/>
            <wp:wrapSquare wrapText="bothSides" distT="0" distB="0" distL="114300" distR="114300"/>
            <wp:docPr id="1709465734" name="image5.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Texto&#10;&#10;Descripción generada automáticamente"/>
                    <pic:cNvPicPr preferRelativeResize="0"/>
                  </pic:nvPicPr>
                  <pic:blipFill>
                    <a:blip r:embed="rId8"/>
                    <a:srcRect l="29192" t="21639" r="29905" b="22596"/>
                    <a:stretch>
                      <a:fillRect/>
                    </a:stretch>
                  </pic:blipFill>
                  <pic:spPr>
                    <a:xfrm>
                      <a:off x="0" y="0"/>
                      <a:ext cx="3886200" cy="2990850"/>
                    </a:xfrm>
                    <a:prstGeom prst="rect">
                      <a:avLst/>
                    </a:prstGeom>
                    <a:ln/>
                  </pic:spPr>
                </pic:pic>
              </a:graphicData>
            </a:graphic>
          </wp:anchor>
        </w:drawing>
      </w:r>
    </w:p>
    <w:p w14:paraId="0C560285"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5AAB6322"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7C06FFBE"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338E078C"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6AC45282"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089E3E77"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39CF0AA9"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56D8CE69"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567363E4"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23CC0230"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647CB58A"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1F4D61A0"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76A6FF94"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7FA7C367"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62004352" w14:textId="77777777" w:rsidR="00F2150C" w:rsidRPr="0016703E" w:rsidRDefault="00F2150C" w:rsidP="0016703E">
      <w:pPr>
        <w:pBdr>
          <w:top w:val="nil"/>
          <w:left w:val="nil"/>
          <w:bottom w:val="nil"/>
          <w:right w:val="nil"/>
          <w:between w:val="nil"/>
        </w:pBdr>
        <w:spacing w:after="0" w:line="240" w:lineRule="auto"/>
        <w:jc w:val="both"/>
        <w:rPr>
          <w:rFonts w:ascii="Century Gothic" w:eastAsia="Arial" w:hAnsi="Century Gothic" w:cs="Arial"/>
          <w:color w:val="000000"/>
          <w:sz w:val="24"/>
          <w:szCs w:val="24"/>
        </w:rPr>
      </w:pPr>
    </w:p>
    <w:p w14:paraId="2AEBF1AA" w14:textId="77777777" w:rsidR="003976DD" w:rsidRDefault="003976DD"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3F239933" w14:textId="33DFC742" w:rsidR="00F2150C" w:rsidRPr="0016703E" w:rsidRDefault="00D84AD5"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r w:rsidRPr="0016703E">
        <w:rPr>
          <w:rFonts w:ascii="Century Gothic" w:eastAsia="Arial" w:hAnsi="Century Gothic" w:cs="Arial"/>
          <w:color w:val="000000"/>
          <w:sz w:val="24"/>
          <w:szCs w:val="24"/>
        </w:rPr>
        <w:t>Escala de Bristol de las heces</w:t>
      </w:r>
    </w:p>
    <w:p w14:paraId="53B90F65" w14:textId="77777777" w:rsidR="00F2150C" w:rsidRPr="0016703E" w:rsidRDefault="00D84AD5"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r w:rsidRPr="0016703E">
        <w:rPr>
          <w:rFonts w:ascii="Century Gothic" w:eastAsia="Arial" w:hAnsi="Century Gothic" w:cs="Arial"/>
          <w:color w:val="000000"/>
          <w:sz w:val="24"/>
          <w:szCs w:val="24"/>
        </w:rPr>
        <w:t xml:space="preserve">Fuente: </w:t>
      </w:r>
      <w:r w:rsidRPr="0016703E">
        <w:rPr>
          <w:rFonts w:ascii="Century Gothic" w:eastAsia="Arial" w:hAnsi="Century Gothic" w:cs="Arial"/>
          <w:sz w:val="24"/>
          <w:szCs w:val="24"/>
        </w:rPr>
        <w:t>Otero R. W, Otero P. L, Marulanda F. H (1).</w:t>
      </w:r>
    </w:p>
    <w:p w14:paraId="7D9075AC" w14:textId="77777777" w:rsidR="00F2150C" w:rsidRPr="0016703E" w:rsidRDefault="00F2150C" w:rsidP="0016703E">
      <w:pPr>
        <w:pBdr>
          <w:top w:val="nil"/>
          <w:left w:val="nil"/>
          <w:bottom w:val="nil"/>
          <w:right w:val="nil"/>
          <w:between w:val="nil"/>
        </w:pBdr>
        <w:spacing w:after="0" w:line="240" w:lineRule="auto"/>
        <w:ind w:left="720"/>
        <w:jc w:val="both"/>
        <w:rPr>
          <w:rFonts w:ascii="Century Gothic" w:eastAsia="Arial" w:hAnsi="Century Gothic" w:cs="Arial"/>
          <w:color w:val="000000"/>
          <w:sz w:val="24"/>
          <w:szCs w:val="24"/>
        </w:rPr>
      </w:pPr>
    </w:p>
    <w:p w14:paraId="29FF3B7A" w14:textId="77777777" w:rsidR="00F2150C" w:rsidRPr="0016703E" w:rsidRDefault="00D84AD5" w:rsidP="0016703E">
      <w:pPr>
        <w:numPr>
          <w:ilvl w:val="0"/>
          <w:numId w:val="8"/>
        </w:numPr>
        <w:pBdr>
          <w:top w:val="nil"/>
          <w:left w:val="nil"/>
          <w:bottom w:val="nil"/>
          <w:right w:val="nil"/>
          <w:between w:val="nil"/>
        </w:pBdr>
        <w:spacing w:after="0" w:line="240" w:lineRule="auto"/>
        <w:jc w:val="both"/>
        <w:rPr>
          <w:rFonts w:ascii="Century Gothic" w:eastAsia="Arial" w:hAnsi="Century Gothic" w:cs="Arial"/>
          <w:color w:val="000000"/>
          <w:sz w:val="24"/>
          <w:szCs w:val="24"/>
        </w:rPr>
      </w:pPr>
      <w:r w:rsidRPr="0016703E">
        <w:rPr>
          <w:rFonts w:ascii="Century Gothic" w:eastAsia="Arial" w:hAnsi="Century Gothic" w:cs="Arial"/>
          <w:b/>
          <w:color w:val="000000"/>
          <w:sz w:val="24"/>
          <w:szCs w:val="24"/>
        </w:rPr>
        <w:t>Otros síntomas digestivos:</w:t>
      </w:r>
      <w:r w:rsidRPr="0016703E">
        <w:rPr>
          <w:rFonts w:ascii="Century Gothic" w:eastAsia="Arial" w:hAnsi="Century Gothic" w:cs="Arial"/>
          <w:color w:val="000000"/>
          <w:sz w:val="24"/>
          <w:szCs w:val="24"/>
        </w:rPr>
        <w:t xml:space="preserve"> La distensión abdominal puede ser muy llamativa en algunos enfermos. Ta</w:t>
      </w:r>
      <w:r w:rsidRPr="0016703E">
        <w:rPr>
          <w:rFonts w:ascii="Century Gothic" w:eastAsia="Arial" w:hAnsi="Century Gothic" w:cs="Arial"/>
          <w:color w:val="000000"/>
          <w:sz w:val="24"/>
          <w:szCs w:val="24"/>
          <w:highlight w:val="white"/>
        </w:rPr>
        <w:t xml:space="preserve">mbién es común que estos pacientes </w:t>
      </w:r>
      <w:r w:rsidRPr="0016703E">
        <w:rPr>
          <w:rFonts w:ascii="Century Gothic" w:eastAsia="Arial" w:hAnsi="Century Gothic" w:cs="Arial"/>
          <w:sz w:val="24"/>
          <w:szCs w:val="24"/>
          <w:highlight w:val="white"/>
        </w:rPr>
        <w:t>aquejan</w:t>
      </w:r>
      <w:r w:rsidRPr="0016703E">
        <w:rPr>
          <w:rFonts w:ascii="Century Gothic" w:eastAsia="Arial" w:hAnsi="Century Gothic" w:cs="Arial"/>
          <w:color w:val="000000"/>
          <w:sz w:val="24"/>
          <w:szCs w:val="24"/>
          <w:highlight w:val="white"/>
        </w:rPr>
        <w:t xml:space="preserve"> síntomas digestivos como la pirosis, presente hasta en el 46.5% de los pacientes, o bien trastornos funcionales como la dispepsia funcional, que se puede observar hasta en el 47,6% de los pacientes con S</w:t>
      </w:r>
      <w:r w:rsidRPr="0016703E">
        <w:rPr>
          <w:rFonts w:ascii="Century Gothic" w:eastAsia="Arial" w:hAnsi="Century Gothic" w:cs="Arial"/>
          <w:sz w:val="24"/>
          <w:szCs w:val="24"/>
          <w:highlight w:val="white"/>
        </w:rPr>
        <w:t>II</w:t>
      </w:r>
      <w:r w:rsidRPr="0016703E">
        <w:rPr>
          <w:rFonts w:ascii="Century Gothic" w:eastAsia="Arial" w:hAnsi="Century Gothic" w:cs="Arial"/>
          <w:color w:val="000000"/>
          <w:sz w:val="24"/>
          <w:szCs w:val="24"/>
          <w:highlight w:val="white"/>
        </w:rPr>
        <w:t xml:space="preserve">. </w:t>
      </w:r>
    </w:p>
    <w:p w14:paraId="3F9971B1" w14:textId="77777777" w:rsidR="00F2150C" w:rsidRPr="0016703E" w:rsidRDefault="00F2150C" w:rsidP="0016703E">
      <w:pPr>
        <w:spacing w:after="0" w:line="240" w:lineRule="auto"/>
        <w:jc w:val="both"/>
        <w:rPr>
          <w:rFonts w:ascii="Century Gothic" w:eastAsia="Arial" w:hAnsi="Century Gothic" w:cs="Arial"/>
          <w:sz w:val="24"/>
          <w:szCs w:val="24"/>
        </w:rPr>
      </w:pPr>
    </w:p>
    <w:p w14:paraId="7CAB59E1" w14:textId="599AF5C1" w:rsidR="00F2150C" w:rsidRPr="0016703E" w:rsidRDefault="00D84AD5" w:rsidP="0016703E">
      <w:pPr>
        <w:numPr>
          <w:ilvl w:val="0"/>
          <w:numId w:val="8"/>
        </w:numPr>
        <w:pBdr>
          <w:top w:val="nil"/>
          <w:left w:val="nil"/>
          <w:bottom w:val="nil"/>
          <w:right w:val="nil"/>
          <w:between w:val="nil"/>
        </w:pBdr>
        <w:spacing w:after="0" w:line="240" w:lineRule="auto"/>
        <w:jc w:val="both"/>
        <w:rPr>
          <w:rFonts w:ascii="Century Gothic" w:eastAsia="Arial" w:hAnsi="Century Gothic" w:cs="Arial"/>
          <w:b/>
          <w:color w:val="000000"/>
          <w:sz w:val="24"/>
          <w:szCs w:val="24"/>
        </w:rPr>
      </w:pPr>
      <w:r w:rsidRPr="0016703E">
        <w:rPr>
          <w:rFonts w:ascii="Century Gothic" w:eastAsia="Arial" w:hAnsi="Century Gothic" w:cs="Arial"/>
          <w:color w:val="000000"/>
          <w:sz w:val="24"/>
          <w:szCs w:val="24"/>
        </w:rPr>
        <w:t xml:space="preserve">Algunas manifestaciones clínicas extradigestivas son significativamente </w:t>
      </w:r>
      <w:r w:rsidRPr="0016703E">
        <w:rPr>
          <w:rFonts w:ascii="Century Gothic" w:eastAsia="Arial" w:hAnsi="Century Gothic" w:cs="Arial"/>
          <w:sz w:val="24"/>
          <w:szCs w:val="24"/>
        </w:rPr>
        <w:t>más</w:t>
      </w:r>
      <w:r w:rsidRPr="0016703E">
        <w:rPr>
          <w:rFonts w:ascii="Century Gothic" w:eastAsia="Arial" w:hAnsi="Century Gothic" w:cs="Arial"/>
          <w:color w:val="000000"/>
          <w:sz w:val="24"/>
          <w:szCs w:val="24"/>
        </w:rPr>
        <w:t xml:space="preserve"> frecuentes en los pacientes con SII que en la población general. El SII puede asociarse también a otras enfermedades extradigestivas entre las que cabe destacar la fibromialgia, presente en alrededor de 32.5% de </w:t>
      </w:r>
      <w:r w:rsidR="00107CAF" w:rsidRPr="0016703E">
        <w:rPr>
          <w:rFonts w:ascii="Century Gothic" w:eastAsia="Arial" w:hAnsi="Century Gothic" w:cs="Arial"/>
          <w:color w:val="000000"/>
          <w:sz w:val="24"/>
          <w:szCs w:val="24"/>
        </w:rPr>
        <w:t>los pacientes</w:t>
      </w:r>
      <w:r w:rsidRPr="0016703E">
        <w:rPr>
          <w:rFonts w:ascii="Century Gothic" w:eastAsia="Arial" w:hAnsi="Century Gothic" w:cs="Arial"/>
          <w:color w:val="000000"/>
          <w:sz w:val="24"/>
          <w:szCs w:val="24"/>
        </w:rPr>
        <w:t xml:space="preserve"> con SII, </w:t>
      </w:r>
      <w:r w:rsidR="003976DD" w:rsidRPr="0016703E">
        <w:rPr>
          <w:rFonts w:ascii="Century Gothic" w:eastAsia="Arial" w:hAnsi="Century Gothic" w:cs="Arial"/>
          <w:color w:val="000000"/>
          <w:sz w:val="24"/>
          <w:szCs w:val="24"/>
        </w:rPr>
        <w:lastRenderedPageBreak/>
        <w:t>el síndrome</w:t>
      </w:r>
      <w:r w:rsidRPr="0016703E">
        <w:rPr>
          <w:rFonts w:ascii="Century Gothic" w:eastAsia="Arial" w:hAnsi="Century Gothic" w:cs="Arial"/>
          <w:color w:val="000000"/>
          <w:sz w:val="24"/>
          <w:szCs w:val="24"/>
        </w:rPr>
        <w:t xml:space="preserve"> de fatiga crónica en un 51%, el dolor abdominal pélvico crónico, observado en el 49,9% de las mujeres que padecen de SII, o la disfunción temporomandibular.</w:t>
      </w:r>
    </w:p>
    <w:p w14:paraId="54A410FC" w14:textId="77777777" w:rsidR="00F2150C" w:rsidRPr="0016703E" w:rsidRDefault="00F2150C" w:rsidP="0016703E">
      <w:pPr>
        <w:pBdr>
          <w:top w:val="nil"/>
          <w:left w:val="nil"/>
          <w:bottom w:val="nil"/>
          <w:right w:val="nil"/>
          <w:between w:val="nil"/>
        </w:pBdr>
        <w:spacing w:after="0" w:line="240" w:lineRule="auto"/>
        <w:ind w:left="720"/>
        <w:rPr>
          <w:rFonts w:ascii="Century Gothic" w:eastAsia="Arial" w:hAnsi="Century Gothic" w:cs="Arial"/>
          <w:b/>
          <w:color w:val="000000"/>
          <w:sz w:val="24"/>
          <w:szCs w:val="24"/>
        </w:rPr>
      </w:pPr>
    </w:p>
    <w:p w14:paraId="352C8451" w14:textId="77777777" w:rsidR="00F2150C" w:rsidRPr="0016703E" w:rsidRDefault="00D84AD5" w:rsidP="0016703E">
      <w:pPr>
        <w:pBdr>
          <w:top w:val="nil"/>
          <w:left w:val="nil"/>
          <w:bottom w:val="nil"/>
          <w:right w:val="nil"/>
          <w:between w:val="nil"/>
        </w:pBdr>
        <w:spacing w:after="0" w:line="240" w:lineRule="auto"/>
        <w:ind w:left="720"/>
        <w:rPr>
          <w:rFonts w:ascii="Century Gothic" w:eastAsia="Arial" w:hAnsi="Century Gothic" w:cs="Arial"/>
          <w:b/>
          <w:color w:val="000000"/>
          <w:sz w:val="24"/>
          <w:szCs w:val="24"/>
        </w:rPr>
      </w:pPr>
      <w:r w:rsidRPr="0016703E">
        <w:rPr>
          <w:rFonts w:ascii="Century Gothic" w:eastAsia="Arial" w:hAnsi="Century Gothic" w:cs="Arial"/>
          <w:b/>
          <w:sz w:val="24"/>
          <w:szCs w:val="24"/>
        </w:rPr>
        <w:t>Síntomas y signos de alarma (bandera roja)</w:t>
      </w:r>
    </w:p>
    <w:p w14:paraId="07DCD911" w14:textId="77777777" w:rsidR="00F2150C" w:rsidRPr="0016703E" w:rsidRDefault="00D84AD5" w:rsidP="0016703E">
      <w:pPr>
        <w:pBdr>
          <w:top w:val="nil"/>
          <w:left w:val="nil"/>
          <w:bottom w:val="nil"/>
          <w:right w:val="nil"/>
          <w:between w:val="nil"/>
        </w:pBdr>
        <w:spacing w:after="0" w:line="240" w:lineRule="auto"/>
        <w:ind w:left="720"/>
        <w:rPr>
          <w:rFonts w:ascii="Century Gothic" w:eastAsia="Arial" w:hAnsi="Century Gothic" w:cs="Arial"/>
          <w:b/>
          <w:color w:val="000000"/>
          <w:sz w:val="24"/>
          <w:szCs w:val="24"/>
        </w:rPr>
      </w:pPr>
      <w:r w:rsidRPr="0016703E">
        <w:rPr>
          <w:rFonts w:ascii="Century Gothic" w:hAnsi="Century Gothic"/>
          <w:noProof/>
          <w:sz w:val="24"/>
          <w:szCs w:val="24"/>
        </w:rPr>
        <w:drawing>
          <wp:inline distT="0" distB="0" distL="0" distR="0" wp14:anchorId="6C8611EF" wp14:editId="6E6AF8A1">
            <wp:extent cx="4181475" cy="3112770"/>
            <wp:effectExtent l="0" t="0" r="0" b="0"/>
            <wp:docPr id="1709465737" name="image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pic:cNvPicPr preferRelativeResize="0"/>
                  </pic:nvPicPr>
                  <pic:blipFill>
                    <a:blip r:embed="rId9"/>
                    <a:srcRect l="46504" t="35267" r="12082" b="10138"/>
                    <a:stretch>
                      <a:fillRect/>
                    </a:stretch>
                  </pic:blipFill>
                  <pic:spPr>
                    <a:xfrm>
                      <a:off x="0" y="0"/>
                      <a:ext cx="4181475" cy="3112770"/>
                    </a:xfrm>
                    <a:prstGeom prst="rect">
                      <a:avLst/>
                    </a:prstGeom>
                    <a:ln/>
                  </pic:spPr>
                </pic:pic>
              </a:graphicData>
            </a:graphic>
          </wp:inline>
        </w:drawing>
      </w:r>
      <w:r w:rsidRPr="0016703E">
        <w:rPr>
          <w:rFonts w:ascii="Century Gothic" w:eastAsia="Arial" w:hAnsi="Century Gothic" w:cs="Arial"/>
          <w:b/>
          <w:color w:val="000000"/>
          <w:sz w:val="24"/>
          <w:szCs w:val="24"/>
        </w:rPr>
        <w:t xml:space="preserve"> </w:t>
      </w:r>
    </w:p>
    <w:p w14:paraId="3E801926" w14:textId="77777777" w:rsidR="00F2150C" w:rsidRPr="0016703E" w:rsidRDefault="00F2150C" w:rsidP="0016703E">
      <w:pPr>
        <w:pBdr>
          <w:top w:val="nil"/>
          <w:left w:val="nil"/>
          <w:bottom w:val="nil"/>
          <w:right w:val="nil"/>
          <w:between w:val="nil"/>
        </w:pBdr>
        <w:spacing w:after="0" w:line="240" w:lineRule="auto"/>
        <w:ind w:left="720"/>
        <w:rPr>
          <w:rFonts w:ascii="Century Gothic" w:eastAsia="Arial" w:hAnsi="Century Gothic" w:cs="Arial"/>
          <w:b/>
          <w:sz w:val="24"/>
          <w:szCs w:val="24"/>
        </w:rPr>
      </w:pPr>
    </w:p>
    <w:p w14:paraId="53519494" w14:textId="77777777" w:rsidR="00F2150C" w:rsidRPr="0016703E" w:rsidRDefault="00D84AD5" w:rsidP="0016703E">
      <w:pPr>
        <w:spacing w:after="0" w:line="240" w:lineRule="auto"/>
        <w:ind w:left="720"/>
        <w:jc w:val="both"/>
        <w:rPr>
          <w:rFonts w:ascii="Century Gothic" w:eastAsia="Arial" w:hAnsi="Century Gothic" w:cs="Arial"/>
          <w:sz w:val="24"/>
          <w:szCs w:val="24"/>
        </w:rPr>
      </w:pPr>
      <w:r w:rsidRPr="0016703E">
        <w:rPr>
          <w:rFonts w:ascii="Century Gothic" w:eastAsia="Arial" w:hAnsi="Century Gothic" w:cs="Arial"/>
          <w:sz w:val="24"/>
          <w:szCs w:val="24"/>
        </w:rPr>
        <w:t>Figura 2. Síntomas y signos de alarma</w:t>
      </w:r>
    </w:p>
    <w:p w14:paraId="7BBDE06E" w14:textId="77777777" w:rsidR="00F2150C" w:rsidRPr="0016703E" w:rsidRDefault="00D84AD5" w:rsidP="0016703E">
      <w:pPr>
        <w:spacing w:after="0" w:line="240" w:lineRule="auto"/>
        <w:ind w:left="720"/>
        <w:jc w:val="both"/>
        <w:rPr>
          <w:rFonts w:ascii="Century Gothic" w:eastAsia="Arial" w:hAnsi="Century Gothic" w:cs="Arial"/>
          <w:b/>
          <w:sz w:val="24"/>
          <w:szCs w:val="24"/>
        </w:rPr>
      </w:pPr>
      <w:r w:rsidRPr="0016703E">
        <w:rPr>
          <w:rFonts w:ascii="Century Gothic" w:eastAsia="Arial" w:hAnsi="Century Gothic" w:cs="Arial"/>
          <w:sz w:val="24"/>
          <w:szCs w:val="24"/>
        </w:rPr>
        <w:t>Fuente: Otero R. W, Otero P. L, Marulanda F. H (1).</w:t>
      </w:r>
    </w:p>
    <w:p w14:paraId="3E57E707" w14:textId="77777777" w:rsidR="00F2150C" w:rsidRPr="0016703E" w:rsidRDefault="00F2150C" w:rsidP="0016703E">
      <w:pPr>
        <w:pBdr>
          <w:top w:val="nil"/>
          <w:left w:val="nil"/>
          <w:bottom w:val="nil"/>
          <w:right w:val="nil"/>
          <w:between w:val="nil"/>
        </w:pBdr>
        <w:spacing w:after="0" w:line="240" w:lineRule="auto"/>
        <w:ind w:left="720"/>
        <w:rPr>
          <w:rFonts w:ascii="Century Gothic" w:eastAsia="Arial" w:hAnsi="Century Gothic" w:cs="Arial"/>
          <w:b/>
          <w:color w:val="000000"/>
          <w:sz w:val="24"/>
          <w:szCs w:val="24"/>
        </w:rPr>
      </w:pPr>
    </w:p>
    <w:p w14:paraId="4D46D62D" w14:textId="77777777" w:rsidR="00F2150C" w:rsidRPr="0016703E" w:rsidRDefault="00D84AD5" w:rsidP="0016703E">
      <w:pPr>
        <w:numPr>
          <w:ilvl w:val="0"/>
          <w:numId w:val="12"/>
        </w:numPr>
        <w:pBdr>
          <w:top w:val="nil"/>
          <w:left w:val="nil"/>
          <w:bottom w:val="nil"/>
          <w:right w:val="nil"/>
          <w:between w:val="nil"/>
        </w:pBdr>
        <w:shd w:val="clear" w:color="auto" w:fill="FFFFFF"/>
        <w:spacing w:after="0" w:line="240" w:lineRule="auto"/>
        <w:jc w:val="both"/>
        <w:rPr>
          <w:rFonts w:ascii="Century Gothic" w:eastAsia="Arial" w:hAnsi="Century Gothic" w:cs="Arial"/>
          <w:color w:val="000000"/>
          <w:sz w:val="24"/>
          <w:szCs w:val="24"/>
        </w:rPr>
      </w:pPr>
      <w:r w:rsidRPr="0016703E">
        <w:rPr>
          <w:rFonts w:ascii="Century Gothic" w:eastAsia="Arial" w:hAnsi="Century Gothic" w:cs="Arial"/>
          <w:color w:val="000000"/>
          <w:sz w:val="24"/>
          <w:szCs w:val="24"/>
        </w:rPr>
        <w:t>Edad de inicio de síntomas o cambios en el hábito intestinal en pacientes mayores de 50 años de edad.</w:t>
      </w:r>
    </w:p>
    <w:p w14:paraId="319365FF" w14:textId="77777777" w:rsidR="00F2150C" w:rsidRPr="0016703E" w:rsidRDefault="00D84AD5" w:rsidP="0016703E">
      <w:pPr>
        <w:numPr>
          <w:ilvl w:val="0"/>
          <w:numId w:val="12"/>
        </w:numPr>
        <w:pBdr>
          <w:top w:val="nil"/>
          <w:left w:val="nil"/>
          <w:bottom w:val="nil"/>
          <w:right w:val="nil"/>
          <w:between w:val="nil"/>
        </w:pBdr>
        <w:shd w:val="clear" w:color="auto" w:fill="FFFFFF"/>
        <w:spacing w:after="0" w:line="240" w:lineRule="auto"/>
        <w:jc w:val="both"/>
        <w:rPr>
          <w:rFonts w:ascii="Century Gothic" w:eastAsia="Arial" w:hAnsi="Century Gothic" w:cs="Arial"/>
          <w:color w:val="000000"/>
          <w:sz w:val="24"/>
          <w:szCs w:val="24"/>
        </w:rPr>
      </w:pPr>
      <w:r w:rsidRPr="0016703E">
        <w:rPr>
          <w:rFonts w:ascii="Century Gothic" w:eastAsia="Arial" w:hAnsi="Century Gothic" w:cs="Arial"/>
          <w:color w:val="000000"/>
          <w:sz w:val="24"/>
          <w:szCs w:val="24"/>
        </w:rPr>
        <w:t xml:space="preserve">Pérdida ponderal </w:t>
      </w:r>
      <w:r w:rsidRPr="0016703E">
        <w:rPr>
          <w:rFonts w:ascii="Century Gothic" w:eastAsia="Arial" w:hAnsi="Century Gothic" w:cs="Arial"/>
          <w:sz w:val="24"/>
          <w:szCs w:val="24"/>
        </w:rPr>
        <w:t>involuntaria de más</w:t>
      </w:r>
      <w:r w:rsidRPr="0016703E">
        <w:rPr>
          <w:rFonts w:ascii="Century Gothic" w:eastAsia="Arial" w:hAnsi="Century Gothic" w:cs="Arial"/>
          <w:color w:val="000000"/>
          <w:sz w:val="24"/>
          <w:szCs w:val="24"/>
        </w:rPr>
        <w:t xml:space="preserve"> de 10% en 6 meses.</w:t>
      </w:r>
    </w:p>
    <w:p w14:paraId="7EBCC5D1" w14:textId="77777777" w:rsidR="00F2150C" w:rsidRPr="0016703E" w:rsidRDefault="00D84AD5" w:rsidP="0016703E">
      <w:pPr>
        <w:numPr>
          <w:ilvl w:val="0"/>
          <w:numId w:val="12"/>
        </w:numPr>
        <w:pBdr>
          <w:top w:val="nil"/>
          <w:left w:val="nil"/>
          <w:bottom w:val="nil"/>
          <w:right w:val="nil"/>
          <w:between w:val="nil"/>
        </w:pBdr>
        <w:shd w:val="clear" w:color="auto" w:fill="FFFFFF"/>
        <w:spacing w:after="0" w:line="240" w:lineRule="auto"/>
        <w:jc w:val="both"/>
        <w:rPr>
          <w:rFonts w:ascii="Century Gothic" w:eastAsia="Arial" w:hAnsi="Century Gothic" w:cs="Arial"/>
          <w:color w:val="000000"/>
          <w:sz w:val="24"/>
          <w:szCs w:val="24"/>
        </w:rPr>
      </w:pPr>
      <w:r w:rsidRPr="0016703E">
        <w:rPr>
          <w:rFonts w:ascii="Century Gothic" w:eastAsia="Arial" w:hAnsi="Century Gothic" w:cs="Arial"/>
          <w:color w:val="000000"/>
          <w:sz w:val="24"/>
          <w:szCs w:val="24"/>
        </w:rPr>
        <w:t>Historia familiar de malignidad gastrointestinal.</w:t>
      </w:r>
    </w:p>
    <w:p w14:paraId="2AFDEF7E" w14:textId="77777777" w:rsidR="00F2150C" w:rsidRPr="0016703E" w:rsidRDefault="00D84AD5" w:rsidP="0016703E">
      <w:pPr>
        <w:numPr>
          <w:ilvl w:val="0"/>
          <w:numId w:val="12"/>
        </w:numPr>
        <w:pBdr>
          <w:top w:val="nil"/>
          <w:left w:val="nil"/>
          <w:bottom w:val="nil"/>
          <w:right w:val="nil"/>
          <w:between w:val="nil"/>
        </w:pBdr>
        <w:shd w:val="clear" w:color="auto" w:fill="FFFFFF"/>
        <w:spacing w:after="0" w:line="240" w:lineRule="auto"/>
        <w:jc w:val="both"/>
        <w:rPr>
          <w:rFonts w:ascii="Century Gothic" w:eastAsia="Arial" w:hAnsi="Century Gothic" w:cs="Arial"/>
          <w:color w:val="000000"/>
          <w:sz w:val="24"/>
          <w:szCs w:val="24"/>
        </w:rPr>
      </w:pPr>
      <w:r w:rsidRPr="0016703E">
        <w:rPr>
          <w:rFonts w:ascii="Century Gothic" w:eastAsia="Arial" w:hAnsi="Century Gothic" w:cs="Arial"/>
          <w:color w:val="000000"/>
          <w:sz w:val="24"/>
          <w:szCs w:val="24"/>
        </w:rPr>
        <w:t>Fiebre.</w:t>
      </w:r>
    </w:p>
    <w:p w14:paraId="6AD98552" w14:textId="77777777" w:rsidR="00F2150C" w:rsidRPr="0016703E" w:rsidRDefault="00D84AD5" w:rsidP="0016703E">
      <w:pPr>
        <w:numPr>
          <w:ilvl w:val="0"/>
          <w:numId w:val="12"/>
        </w:numPr>
        <w:pBdr>
          <w:top w:val="nil"/>
          <w:left w:val="nil"/>
          <w:bottom w:val="nil"/>
          <w:right w:val="nil"/>
          <w:between w:val="nil"/>
        </w:pBdr>
        <w:shd w:val="clear" w:color="auto" w:fill="FFFFFF"/>
        <w:spacing w:after="0" w:line="240" w:lineRule="auto"/>
        <w:jc w:val="both"/>
        <w:rPr>
          <w:rFonts w:ascii="Century Gothic" w:eastAsia="Arial" w:hAnsi="Century Gothic" w:cs="Arial"/>
          <w:color w:val="000000"/>
          <w:sz w:val="24"/>
          <w:szCs w:val="24"/>
        </w:rPr>
      </w:pPr>
      <w:r w:rsidRPr="0016703E">
        <w:rPr>
          <w:rFonts w:ascii="Century Gothic" w:eastAsia="Arial" w:hAnsi="Century Gothic" w:cs="Arial"/>
          <w:color w:val="000000"/>
          <w:sz w:val="24"/>
          <w:szCs w:val="24"/>
        </w:rPr>
        <w:t>Hematoque</w:t>
      </w:r>
      <w:r w:rsidRPr="0016703E">
        <w:rPr>
          <w:rFonts w:ascii="Century Gothic" w:eastAsia="Arial" w:hAnsi="Century Gothic" w:cs="Arial"/>
          <w:sz w:val="24"/>
          <w:szCs w:val="24"/>
        </w:rPr>
        <w:t>c</w:t>
      </w:r>
      <w:r w:rsidRPr="0016703E">
        <w:rPr>
          <w:rFonts w:ascii="Century Gothic" w:eastAsia="Arial" w:hAnsi="Century Gothic" w:cs="Arial"/>
          <w:color w:val="000000"/>
          <w:sz w:val="24"/>
          <w:szCs w:val="24"/>
        </w:rPr>
        <w:t>ia.</w:t>
      </w:r>
    </w:p>
    <w:p w14:paraId="35DC7EBF" w14:textId="77777777" w:rsidR="00F2150C" w:rsidRPr="0016703E" w:rsidRDefault="00D84AD5" w:rsidP="0016703E">
      <w:pPr>
        <w:numPr>
          <w:ilvl w:val="0"/>
          <w:numId w:val="12"/>
        </w:numPr>
        <w:pBdr>
          <w:top w:val="nil"/>
          <w:left w:val="nil"/>
          <w:bottom w:val="nil"/>
          <w:right w:val="nil"/>
          <w:between w:val="nil"/>
        </w:pBdr>
        <w:shd w:val="clear" w:color="auto" w:fill="FFFFFF"/>
        <w:spacing w:after="0" w:line="240" w:lineRule="auto"/>
        <w:jc w:val="both"/>
        <w:rPr>
          <w:rFonts w:ascii="Century Gothic" w:eastAsia="Arial" w:hAnsi="Century Gothic" w:cs="Arial"/>
          <w:color w:val="000000"/>
          <w:sz w:val="24"/>
          <w:szCs w:val="24"/>
        </w:rPr>
      </w:pPr>
      <w:r w:rsidRPr="0016703E">
        <w:rPr>
          <w:rFonts w:ascii="Century Gothic" w:eastAsia="Arial" w:hAnsi="Century Gothic" w:cs="Arial"/>
          <w:color w:val="000000"/>
          <w:sz w:val="24"/>
          <w:szCs w:val="24"/>
        </w:rPr>
        <w:t>Diarrea asociada a deshidratación grave.</w:t>
      </w:r>
    </w:p>
    <w:p w14:paraId="66F724D9" w14:textId="77777777" w:rsidR="00F2150C" w:rsidRDefault="00D84AD5" w:rsidP="0016703E">
      <w:pPr>
        <w:numPr>
          <w:ilvl w:val="0"/>
          <w:numId w:val="12"/>
        </w:numPr>
        <w:pBdr>
          <w:top w:val="nil"/>
          <w:left w:val="nil"/>
          <w:bottom w:val="nil"/>
          <w:right w:val="nil"/>
          <w:between w:val="nil"/>
        </w:pBdr>
        <w:shd w:val="clear" w:color="auto" w:fill="FFFFFF"/>
        <w:spacing w:after="0" w:line="240" w:lineRule="auto"/>
        <w:jc w:val="both"/>
        <w:rPr>
          <w:rFonts w:ascii="Century Gothic" w:eastAsia="Arial" w:hAnsi="Century Gothic" w:cs="Arial"/>
          <w:color w:val="000000"/>
          <w:sz w:val="24"/>
          <w:szCs w:val="24"/>
        </w:rPr>
      </w:pPr>
      <w:r w:rsidRPr="0016703E">
        <w:rPr>
          <w:rFonts w:ascii="Century Gothic" w:eastAsia="Arial" w:hAnsi="Century Gothic" w:cs="Arial"/>
          <w:color w:val="000000"/>
          <w:sz w:val="24"/>
          <w:szCs w:val="24"/>
        </w:rPr>
        <w:t>Asociación con artritis, lesiones cutáneas, linfadenopatía, masa abdominal, síntomas nocturnos, anemia, leucocitosis o velocidad de sedimentación globular pro</w:t>
      </w:r>
      <w:r w:rsidRPr="0016703E">
        <w:rPr>
          <w:rFonts w:ascii="Century Gothic" w:eastAsia="Arial" w:hAnsi="Century Gothic" w:cs="Arial"/>
          <w:color w:val="000000"/>
          <w:sz w:val="24"/>
          <w:szCs w:val="24"/>
          <w:highlight w:val="white"/>
        </w:rPr>
        <w:t>longada, o sangre oculta en heces positiva.</w:t>
      </w:r>
    </w:p>
    <w:p w14:paraId="3D0FA34F" w14:textId="77777777" w:rsidR="003976DD" w:rsidRPr="0016703E" w:rsidRDefault="003976DD" w:rsidP="003976DD">
      <w:pPr>
        <w:pBdr>
          <w:top w:val="nil"/>
          <w:left w:val="nil"/>
          <w:bottom w:val="nil"/>
          <w:right w:val="nil"/>
          <w:between w:val="nil"/>
        </w:pBdr>
        <w:shd w:val="clear" w:color="auto" w:fill="FFFFFF"/>
        <w:spacing w:after="0" w:line="240" w:lineRule="auto"/>
        <w:ind w:left="915"/>
        <w:jc w:val="both"/>
        <w:rPr>
          <w:rFonts w:ascii="Century Gothic" w:eastAsia="Arial" w:hAnsi="Century Gothic" w:cs="Arial"/>
          <w:color w:val="000000"/>
          <w:sz w:val="24"/>
          <w:szCs w:val="24"/>
        </w:rPr>
      </w:pPr>
    </w:p>
    <w:p w14:paraId="324D9344" w14:textId="77777777" w:rsidR="00F2150C" w:rsidRPr="0016703E" w:rsidRDefault="00D84AD5"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highlight w:val="white"/>
        </w:rPr>
        <w:lastRenderedPageBreak/>
        <w:t>Adicionalmente, se establece que el cuestionario llamado “Irritable bowel syndrome severity scoring system” (12), es utilizado por un per</w:t>
      </w:r>
      <w:r w:rsidRPr="0016703E">
        <w:rPr>
          <w:rFonts w:ascii="Century Gothic" w:eastAsia="Arial" w:hAnsi="Century Gothic" w:cs="Arial"/>
          <w:sz w:val="24"/>
          <w:szCs w:val="24"/>
        </w:rPr>
        <w:t>íodo de 10 días con el fin de establecer la intensidad de los siguientes 5 síntomas: dolor abdominal, distensión, frecuencia de deposiciones, consistencia de las deposiciones e interferencia con las actividades cotidianas, actualmente se encuentra traducido al español y se convierte en una herramienta de ayuda al momento de definir la gravedad de los síntomas (13).</w:t>
      </w:r>
    </w:p>
    <w:p w14:paraId="651769E6" w14:textId="77777777" w:rsidR="00F2150C" w:rsidRPr="0016703E" w:rsidRDefault="00F2150C" w:rsidP="0016703E">
      <w:pPr>
        <w:spacing w:after="0" w:line="240" w:lineRule="auto"/>
        <w:jc w:val="both"/>
        <w:rPr>
          <w:rFonts w:ascii="Century Gothic" w:eastAsia="Arial" w:hAnsi="Century Gothic" w:cs="Arial"/>
          <w:sz w:val="24"/>
          <w:szCs w:val="24"/>
        </w:rPr>
      </w:pPr>
    </w:p>
    <w:p w14:paraId="4E46805C" w14:textId="77777777" w:rsidR="00F2150C" w:rsidRDefault="00D84AD5" w:rsidP="0016703E">
      <w:pPr>
        <w:pStyle w:val="Ttulo1"/>
        <w:spacing w:before="0" w:beforeAutospacing="0" w:after="0" w:afterAutospacing="0"/>
        <w:rPr>
          <w:rFonts w:ascii="Century Gothic" w:eastAsia="Arial" w:hAnsi="Century Gothic" w:cs="Arial"/>
          <w:sz w:val="24"/>
          <w:szCs w:val="24"/>
        </w:rPr>
      </w:pPr>
      <w:bookmarkStart w:id="2" w:name="_heading=h.tyjcwt" w:colFirst="0" w:colLast="0"/>
      <w:bookmarkEnd w:id="2"/>
      <w:r w:rsidRPr="0016703E">
        <w:rPr>
          <w:rFonts w:ascii="Century Gothic" w:eastAsia="Arial" w:hAnsi="Century Gothic" w:cs="Arial"/>
          <w:sz w:val="24"/>
          <w:szCs w:val="24"/>
        </w:rPr>
        <w:t>DIAGNÓSTICO</w:t>
      </w:r>
    </w:p>
    <w:p w14:paraId="3492C4EE" w14:textId="77777777" w:rsidR="003976DD" w:rsidRPr="0016703E" w:rsidRDefault="003976DD" w:rsidP="0016703E">
      <w:pPr>
        <w:pStyle w:val="Ttulo1"/>
        <w:spacing w:before="0" w:beforeAutospacing="0" w:after="0" w:afterAutospacing="0"/>
        <w:rPr>
          <w:rFonts w:ascii="Century Gothic" w:eastAsia="Arial" w:hAnsi="Century Gothic" w:cs="Arial"/>
          <w:sz w:val="24"/>
          <w:szCs w:val="24"/>
        </w:rPr>
      </w:pPr>
    </w:p>
    <w:p w14:paraId="01B7212B" w14:textId="77777777" w:rsidR="00F2150C" w:rsidRPr="0016703E" w:rsidRDefault="00D84AD5" w:rsidP="0016703E">
      <w:pPr>
        <w:spacing w:after="0" w:line="240" w:lineRule="auto"/>
        <w:jc w:val="both"/>
        <w:rPr>
          <w:rFonts w:ascii="Century Gothic" w:eastAsia="Arial" w:hAnsi="Century Gothic" w:cs="Arial"/>
          <w:b/>
          <w:sz w:val="24"/>
          <w:szCs w:val="24"/>
        </w:rPr>
      </w:pPr>
      <w:r w:rsidRPr="0016703E">
        <w:rPr>
          <w:rFonts w:ascii="Century Gothic" w:eastAsia="Arial" w:hAnsi="Century Gothic" w:cs="Arial"/>
          <w:b/>
          <w:sz w:val="24"/>
          <w:szCs w:val="24"/>
        </w:rPr>
        <w:t>Evaluación inicial</w:t>
      </w:r>
    </w:p>
    <w:p w14:paraId="698016A1" w14:textId="77777777" w:rsidR="00F2150C" w:rsidRPr="0016703E" w:rsidRDefault="00F574A1" w:rsidP="0016703E">
      <w:pPr>
        <w:spacing w:after="0" w:line="240" w:lineRule="auto"/>
        <w:jc w:val="both"/>
        <w:rPr>
          <w:rFonts w:ascii="Century Gothic" w:eastAsia="Arial" w:hAnsi="Century Gothic" w:cs="Arial"/>
          <w:sz w:val="24"/>
          <w:szCs w:val="24"/>
        </w:rPr>
      </w:pPr>
      <w:sdt>
        <w:sdtPr>
          <w:rPr>
            <w:rFonts w:ascii="Century Gothic" w:hAnsi="Century Gothic"/>
            <w:sz w:val="24"/>
            <w:szCs w:val="24"/>
          </w:rPr>
          <w:tag w:val="goog_rdk_3"/>
          <w:id w:val="1459216499"/>
        </w:sdtPr>
        <w:sdtEndPr/>
        <w:sdtContent/>
      </w:sdt>
      <w:r w:rsidR="00D84AD5" w:rsidRPr="0016703E">
        <w:rPr>
          <w:rFonts w:ascii="Century Gothic" w:eastAsia="Arial" w:hAnsi="Century Gothic" w:cs="Arial"/>
          <w:sz w:val="24"/>
          <w:szCs w:val="24"/>
        </w:rPr>
        <w:t>Deberá sospecharse el síndrome ante la consulta del paciente con presencia de dolor abdominal, distensión con o sin hinchazón abdominal, y cambio en frecuencia y consistencia de las heces en los últimos tres meses. El dolor abdominal es un síntoma necesario para el diagnóstico y la distensión abdominal es reportada por el 90% de los pacientes (1).</w:t>
      </w:r>
    </w:p>
    <w:p w14:paraId="71F11E8A" w14:textId="77777777" w:rsidR="00F2150C" w:rsidRDefault="00D84AD5"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El historial médico orienta para identificar las manifestaciones clínicas del SII, este interrogatorio se debe acompañar de la evaluación de la escala de bristol, el cual orienta acerca de la consistencia de las heces, realizando una clasificación de 7 tipos de estreñimiento (14). Los síntomas que más acompañan este tipo de pacientes y que se realizará la búsqueda son esfuerzo excesivo al momento de realizar deposición, aumento en la frecuencia de los gases, heces duras, molestia abdominal, sensación de evacuación incompleta (15).</w:t>
      </w:r>
    </w:p>
    <w:p w14:paraId="0B744857" w14:textId="77777777" w:rsidR="003976DD" w:rsidRPr="0016703E" w:rsidRDefault="003976DD" w:rsidP="0016703E">
      <w:pPr>
        <w:spacing w:after="0" w:line="240" w:lineRule="auto"/>
        <w:jc w:val="both"/>
        <w:rPr>
          <w:rFonts w:ascii="Century Gothic" w:eastAsia="Arial" w:hAnsi="Century Gothic" w:cs="Arial"/>
          <w:sz w:val="24"/>
          <w:szCs w:val="24"/>
        </w:rPr>
      </w:pPr>
    </w:p>
    <w:p w14:paraId="4A2D953C" w14:textId="77777777" w:rsidR="00F2150C" w:rsidRDefault="00D84AD5" w:rsidP="0016703E">
      <w:pPr>
        <w:pBdr>
          <w:top w:val="nil"/>
          <w:left w:val="nil"/>
          <w:bottom w:val="nil"/>
          <w:right w:val="nil"/>
          <w:between w:val="nil"/>
        </w:pBdr>
        <w:spacing w:after="0" w:line="240" w:lineRule="auto"/>
        <w:jc w:val="both"/>
        <w:rPr>
          <w:rFonts w:ascii="Century Gothic" w:eastAsia="Arial" w:hAnsi="Century Gothic" w:cs="Arial"/>
          <w:sz w:val="24"/>
          <w:szCs w:val="24"/>
          <w:highlight w:val="white"/>
        </w:rPr>
      </w:pPr>
      <w:r w:rsidRPr="0016703E">
        <w:rPr>
          <w:rFonts w:ascii="Century Gothic" w:eastAsia="Arial" w:hAnsi="Century Gothic" w:cs="Arial"/>
          <w:sz w:val="24"/>
          <w:szCs w:val="24"/>
        </w:rPr>
        <w:t>Posterior al abordaje inicial se deberá realizar un abordaje de los síntomas según los criterios de</w:t>
      </w:r>
      <w:r w:rsidRPr="0016703E">
        <w:rPr>
          <w:rFonts w:ascii="Century Gothic" w:eastAsia="Arial" w:hAnsi="Century Gothic" w:cs="Arial"/>
          <w:sz w:val="24"/>
          <w:szCs w:val="24"/>
          <w:highlight w:val="white"/>
        </w:rPr>
        <w:t xml:space="preserve"> ROMA IV.</w:t>
      </w:r>
    </w:p>
    <w:p w14:paraId="55F49C67" w14:textId="77777777" w:rsidR="003976DD" w:rsidRPr="0016703E" w:rsidRDefault="003976DD" w:rsidP="0016703E">
      <w:pPr>
        <w:pBdr>
          <w:top w:val="nil"/>
          <w:left w:val="nil"/>
          <w:bottom w:val="nil"/>
          <w:right w:val="nil"/>
          <w:between w:val="nil"/>
        </w:pBdr>
        <w:spacing w:after="0" w:line="240" w:lineRule="auto"/>
        <w:jc w:val="both"/>
        <w:rPr>
          <w:rFonts w:ascii="Century Gothic" w:eastAsia="Arial" w:hAnsi="Century Gothic" w:cs="Arial"/>
          <w:sz w:val="24"/>
          <w:szCs w:val="24"/>
          <w:highlight w:val="white"/>
        </w:rPr>
      </w:pPr>
    </w:p>
    <w:p w14:paraId="51C2F770" w14:textId="77777777" w:rsidR="00F2150C" w:rsidRDefault="00D84AD5" w:rsidP="0016703E">
      <w:pPr>
        <w:pBdr>
          <w:top w:val="nil"/>
          <w:left w:val="nil"/>
          <w:bottom w:val="nil"/>
          <w:right w:val="nil"/>
          <w:between w:val="nil"/>
        </w:pBdr>
        <w:spacing w:after="0" w:line="240" w:lineRule="auto"/>
        <w:jc w:val="both"/>
        <w:rPr>
          <w:rFonts w:ascii="Century Gothic" w:eastAsia="Arial" w:hAnsi="Century Gothic" w:cs="Arial"/>
          <w:b/>
          <w:sz w:val="24"/>
          <w:szCs w:val="24"/>
          <w:highlight w:val="white"/>
        </w:rPr>
      </w:pPr>
      <w:r w:rsidRPr="0016703E">
        <w:rPr>
          <w:rFonts w:ascii="Century Gothic" w:eastAsia="Arial" w:hAnsi="Century Gothic" w:cs="Arial"/>
          <w:b/>
          <w:sz w:val="24"/>
          <w:szCs w:val="24"/>
          <w:highlight w:val="white"/>
        </w:rPr>
        <w:t>Criterios de Roma IV</w:t>
      </w:r>
    </w:p>
    <w:p w14:paraId="2008EFAB" w14:textId="77777777" w:rsidR="003976DD" w:rsidRPr="0016703E" w:rsidRDefault="003976DD" w:rsidP="0016703E">
      <w:pPr>
        <w:pBdr>
          <w:top w:val="nil"/>
          <w:left w:val="nil"/>
          <w:bottom w:val="nil"/>
          <w:right w:val="nil"/>
          <w:between w:val="nil"/>
        </w:pBdr>
        <w:spacing w:after="0" w:line="240" w:lineRule="auto"/>
        <w:jc w:val="both"/>
        <w:rPr>
          <w:rFonts w:ascii="Century Gothic" w:eastAsia="Arial" w:hAnsi="Century Gothic" w:cs="Arial"/>
          <w:b/>
          <w:sz w:val="24"/>
          <w:szCs w:val="24"/>
          <w:highlight w:val="white"/>
        </w:rPr>
      </w:pPr>
    </w:p>
    <w:p w14:paraId="3F9B58F5" w14:textId="77777777" w:rsidR="00F2150C" w:rsidRDefault="00D84AD5" w:rsidP="0016703E">
      <w:pPr>
        <w:pBdr>
          <w:top w:val="nil"/>
          <w:left w:val="nil"/>
          <w:bottom w:val="nil"/>
          <w:right w:val="nil"/>
          <w:between w:val="nil"/>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highlight w:val="white"/>
        </w:rPr>
        <w:t xml:space="preserve">Estrategia diagnóstica aceptada internacionalmente que identifica el dolor abdominal funcional recurrente al menos 1 día a la semana en los últimos 3 meses </w:t>
      </w:r>
      <w:r w:rsidRPr="0016703E">
        <w:rPr>
          <w:rFonts w:ascii="Century Gothic" w:eastAsia="Arial" w:hAnsi="Century Gothic" w:cs="Arial"/>
          <w:sz w:val="24"/>
          <w:szCs w:val="24"/>
        </w:rPr>
        <w:t>relacionado con dos o más de los siguientes:</w:t>
      </w:r>
    </w:p>
    <w:p w14:paraId="39EC80D7" w14:textId="77777777" w:rsidR="003976DD" w:rsidRPr="0016703E" w:rsidRDefault="003976DD" w:rsidP="0016703E">
      <w:pPr>
        <w:pBdr>
          <w:top w:val="nil"/>
          <w:left w:val="nil"/>
          <w:bottom w:val="nil"/>
          <w:right w:val="nil"/>
          <w:between w:val="nil"/>
        </w:pBdr>
        <w:spacing w:after="0" w:line="240" w:lineRule="auto"/>
        <w:jc w:val="both"/>
        <w:rPr>
          <w:rFonts w:ascii="Century Gothic" w:eastAsia="Arial" w:hAnsi="Century Gothic" w:cs="Arial"/>
          <w:sz w:val="24"/>
          <w:szCs w:val="24"/>
        </w:rPr>
      </w:pPr>
    </w:p>
    <w:p w14:paraId="45B07D9B" w14:textId="77777777" w:rsidR="00F2150C" w:rsidRPr="0016703E" w:rsidRDefault="00D84AD5" w:rsidP="0016703E">
      <w:pPr>
        <w:numPr>
          <w:ilvl w:val="0"/>
          <w:numId w:val="4"/>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Se relaciona con la defecación.</w:t>
      </w:r>
    </w:p>
    <w:p w14:paraId="1ECF6B8B" w14:textId="77777777" w:rsidR="00F2150C" w:rsidRPr="0016703E" w:rsidRDefault="00D84AD5" w:rsidP="0016703E">
      <w:pPr>
        <w:numPr>
          <w:ilvl w:val="0"/>
          <w:numId w:val="4"/>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Se asocia con escaso número de deposiciones (menos de 3/semana).</w:t>
      </w:r>
    </w:p>
    <w:p w14:paraId="165D6ADF" w14:textId="77777777" w:rsidR="00F2150C" w:rsidRPr="0016703E" w:rsidRDefault="00D84AD5" w:rsidP="0016703E">
      <w:pPr>
        <w:numPr>
          <w:ilvl w:val="0"/>
          <w:numId w:val="4"/>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Se asocia a deposiciones duras o bolas.</w:t>
      </w:r>
    </w:p>
    <w:p w14:paraId="18D9A968" w14:textId="77777777" w:rsidR="00F2150C" w:rsidRPr="0016703E" w:rsidRDefault="00D84AD5" w:rsidP="0016703E">
      <w:pPr>
        <w:pBdr>
          <w:top w:val="nil"/>
          <w:left w:val="nil"/>
          <w:bottom w:val="nil"/>
          <w:right w:val="nil"/>
          <w:between w:val="nil"/>
        </w:pBdr>
        <w:spacing w:after="0" w:line="240" w:lineRule="auto"/>
        <w:jc w:val="center"/>
        <w:rPr>
          <w:rFonts w:ascii="Century Gothic" w:eastAsia="Arial" w:hAnsi="Century Gothic" w:cs="Arial"/>
          <w:sz w:val="24"/>
          <w:szCs w:val="24"/>
          <w:highlight w:val="white"/>
        </w:rPr>
      </w:pPr>
      <w:r w:rsidRPr="0016703E">
        <w:rPr>
          <w:rFonts w:ascii="Century Gothic" w:eastAsia="Arial" w:hAnsi="Century Gothic" w:cs="Arial"/>
          <w:noProof/>
          <w:sz w:val="24"/>
          <w:szCs w:val="24"/>
          <w:highlight w:val="white"/>
        </w:rPr>
        <w:lastRenderedPageBreak/>
        <w:drawing>
          <wp:inline distT="114300" distB="114300" distL="114300" distR="114300" wp14:anchorId="18D12D9B" wp14:editId="2BCF4330">
            <wp:extent cx="4283585" cy="3890282"/>
            <wp:effectExtent l="0" t="0" r="0" b="0"/>
            <wp:docPr id="17094657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283585" cy="3890282"/>
                    </a:xfrm>
                    <a:prstGeom prst="rect">
                      <a:avLst/>
                    </a:prstGeom>
                    <a:ln/>
                  </pic:spPr>
                </pic:pic>
              </a:graphicData>
            </a:graphic>
          </wp:inline>
        </w:drawing>
      </w:r>
    </w:p>
    <w:p w14:paraId="7144BDB1" w14:textId="77777777" w:rsidR="00F2150C" w:rsidRPr="0016703E" w:rsidRDefault="00D84AD5" w:rsidP="0016703E">
      <w:pPr>
        <w:spacing w:after="0" w:line="240" w:lineRule="auto"/>
        <w:ind w:left="720"/>
        <w:jc w:val="both"/>
        <w:rPr>
          <w:rFonts w:ascii="Century Gothic" w:eastAsia="Arial" w:hAnsi="Century Gothic" w:cs="Arial"/>
          <w:sz w:val="24"/>
          <w:szCs w:val="24"/>
        </w:rPr>
      </w:pPr>
      <w:r w:rsidRPr="0016703E">
        <w:rPr>
          <w:rFonts w:ascii="Century Gothic" w:eastAsia="Arial" w:hAnsi="Century Gothic" w:cs="Arial"/>
          <w:sz w:val="24"/>
          <w:szCs w:val="24"/>
        </w:rPr>
        <w:t>Figura 1. Criterios ROMA IV</w:t>
      </w:r>
    </w:p>
    <w:p w14:paraId="752E1101" w14:textId="77777777" w:rsidR="00F2150C" w:rsidRPr="0016703E" w:rsidRDefault="00D84AD5" w:rsidP="0016703E">
      <w:pPr>
        <w:spacing w:after="0" w:line="240" w:lineRule="auto"/>
        <w:ind w:left="720"/>
        <w:jc w:val="both"/>
        <w:rPr>
          <w:rFonts w:ascii="Century Gothic" w:eastAsia="Arial" w:hAnsi="Century Gothic" w:cs="Arial"/>
          <w:sz w:val="24"/>
          <w:szCs w:val="24"/>
          <w:highlight w:val="white"/>
        </w:rPr>
      </w:pPr>
      <w:r w:rsidRPr="0016703E">
        <w:rPr>
          <w:rFonts w:ascii="Century Gothic" w:eastAsia="Arial" w:hAnsi="Century Gothic" w:cs="Arial"/>
          <w:sz w:val="24"/>
          <w:szCs w:val="24"/>
        </w:rPr>
        <w:t>Fuente: Otero R. W, Otero P. L, Marulanda F. H (1).</w:t>
      </w:r>
    </w:p>
    <w:p w14:paraId="034F4E2D" w14:textId="77777777" w:rsidR="00F2150C" w:rsidRPr="0016703E" w:rsidRDefault="00F2150C" w:rsidP="0016703E">
      <w:pPr>
        <w:pBdr>
          <w:top w:val="nil"/>
          <w:left w:val="nil"/>
          <w:bottom w:val="nil"/>
          <w:right w:val="nil"/>
          <w:between w:val="nil"/>
        </w:pBdr>
        <w:spacing w:after="0" w:line="240" w:lineRule="auto"/>
        <w:jc w:val="both"/>
        <w:rPr>
          <w:rFonts w:ascii="Century Gothic" w:eastAsia="Arial" w:hAnsi="Century Gothic" w:cs="Arial"/>
          <w:sz w:val="24"/>
          <w:szCs w:val="24"/>
          <w:highlight w:val="white"/>
        </w:rPr>
      </w:pPr>
    </w:p>
    <w:p w14:paraId="1476BCBD" w14:textId="77777777" w:rsidR="00F2150C" w:rsidRDefault="00D84AD5"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Adicional:</w:t>
      </w:r>
    </w:p>
    <w:p w14:paraId="3E69980E" w14:textId="77777777" w:rsidR="003976DD" w:rsidRPr="0016703E" w:rsidRDefault="003976DD" w:rsidP="0016703E">
      <w:pPr>
        <w:spacing w:after="0" w:line="240" w:lineRule="auto"/>
        <w:jc w:val="both"/>
        <w:rPr>
          <w:rFonts w:ascii="Century Gothic" w:eastAsia="Arial" w:hAnsi="Century Gothic" w:cs="Arial"/>
          <w:sz w:val="24"/>
          <w:szCs w:val="24"/>
        </w:rPr>
      </w:pPr>
    </w:p>
    <w:p w14:paraId="2A334E78" w14:textId="77777777" w:rsidR="00F2150C" w:rsidRPr="0016703E" w:rsidRDefault="00D84AD5" w:rsidP="0016703E">
      <w:pPr>
        <w:numPr>
          <w:ilvl w:val="0"/>
          <w:numId w:val="5"/>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Esfuerzo excesivo al menos 25% de las deposiciones.</w:t>
      </w:r>
    </w:p>
    <w:p w14:paraId="0D5617BB" w14:textId="77777777" w:rsidR="00F2150C" w:rsidRPr="0016703E" w:rsidRDefault="00D84AD5" w:rsidP="0016703E">
      <w:pPr>
        <w:numPr>
          <w:ilvl w:val="0"/>
          <w:numId w:val="5"/>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Heces duras al menos 25% de las deposiciones.</w:t>
      </w:r>
    </w:p>
    <w:p w14:paraId="3AD91502" w14:textId="77777777" w:rsidR="00F2150C" w:rsidRPr="0016703E" w:rsidRDefault="00D84AD5" w:rsidP="0016703E">
      <w:pPr>
        <w:numPr>
          <w:ilvl w:val="0"/>
          <w:numId w:val="5"/>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Sensación de evacuación incompleta al menos 25% de las deposiciones.</w:t>
      </w:r>
    </w:p>
    <w:p w14:paraId="3507D0C8" w14:textId="77777777" w:rsidR="00F2150C" w:rsidRPr="0016703E" w:rsidRDefault="00D84AD5" w:rsidP="0016703E">
      <w:pPr>
        <w:numPr>
          <w:ilvl w:val="0"/>
          <w:numId w:val="5"/>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Sensación de obstrucción anal al menos en el 25% de las deposiciones.</w:t>
      </w:r>
    </w:p>
    <w:p w14:paraId="07E16772" w14:textId="77777777" w:rsidR="00F2150C" w:rsidRPr="0016703E" w:rsidRDefault="00D84AD5" w:rsidP="0016703E">
      <w:pPr>
        <w:numPr>
          <w:ilvl w:val="0"/>
          <w:numId w:val="5"/>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Maniobras manuales para facilitar la defecación 25% de las deposiciones.</w:t>
      </w:r>
    </w:p>
    <w:p w14:paraId="6D4A2B45" w14:textId="77777777" w:rsidR="00F2150C" w:rsidRDefault="00D84AD5" w:rsidP="0016703E">
      <w:pPr>
        <w:numPr>
          <w:ilvl w:val="0"/>
          <w:numId w:val="5"/>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Menos de 3 deposiciones espontáneas completas a la semana (16 - 18).</w:t>
      </w:r>
    </w:p>
    <w:p w14:paraId="04A223AC" w14:textId="77777777" w:rsidR="003976DD" w:rsidRPr="0016703E" w:rsidRDefault="003976DD" w:rsidP="003976DD">
      <w:pPr>
        <w:spacing w:after="0" w:line="240" w:lineRule="auto"/>
        <w:ind w:left="720"/>
        <w:jc w:val="both"/>
        <w:rPr>
          <w:rFonts w:ascii="Century Gothic" w:eastAsia="Arial" w:hAnsi="Century Gothic" w:cs="Arial"/>
          <w:sz w:val="24"/>
          <w:szCs w:val="24"/>
        </w:rPr>
      </w:pPr>
    </w:p>
    <w:p w14:paraId="516AF25F" w14:textId="65872305" w:rsidR="00F2150C" w:rsidRPr="0016703E" w:rsidRDefault="003976DD" w:rsidP="0016703E">
      <w:pPr>
        <w:spacing w:after="0" w:line="240" w:lineRule="auto"/>
        <w:ind w:left="360"/>
        <w:jc w:val="both"/>
        <w:rPr>
          <w:rFonts w:ascii="Century Gothic" w:eastAsia="Arial" w:hAnsi="Century Gothic" w:cs="Arial"/>
          <w:sz w:val="24"/>
          <w:szCs w:val="24"/>
        </w:rPr>
      </w:pPr>
      <w:r w:rsidRPr="0016703E">
        <w:rPr>
          <w:rFonts w:ascii="Century Gothic" w:eastAsia="Arial" w:hAnsi="Century Gothic" w:cs="Arial"/>
          <w:sz w:val="24"/>
          <w:szCs w:val="24"/>
        </w:rPr>
        <w:lastRenderedPageBreak/>
        <w:t>De acuerdo con</w:t>
      </w:r>
      <w:r w:rsidR="00D84AD5" w:rsidRPr="0016703E">
        <w:rPr>
          <w:rFonts w:ascii="Century Gothic" w:eastAsia="Arial" w:hAnsi="Century Gothic" w:cs="Arial"/>
          <w:sz w:val="24"/>
          <w:szCs w:val="24"/>
        </w:rPr>
        <w:t xml:space="preserve"> la evaluación realizada se establecerá si el paciente presenta uno de los subtipos de SII, en los cuales el hábito intestinal predominante de acuerdo a la escala de Bristol establecerá con seguridad el patrón determinado.</w:t>
      </w:r>
    </w:p>
    <w:p w14:paraId="0EE10D8B" w14:textId="77777777" w:rsidR="00F2150C" w:rsidRPr="0016703E" w:rsidRDefault="00D84AD5" w:rsidP="0016703E">
      <w:pPr>
        <w:spacing w:after="0" w:line="240" w:lineRule="auto"/>
        <w:jc w:val="center"/>
        <w:rPr>
          <w:rFonts w:ascii="Century Gothic" w:eastAsia="Arial" w:hAnsi="Century Gothic" w:cs="Arial"/>
          <w:sz w:val="24"/>
          <w:szCs w:val="24"/>
        </w:rPr>
      </w:pPr>
      <w:r w:rsidRPr="0016703E">
        <w:rPr>
          <w:rFonts w:ascii="Century Gothic" w:eastAsia="Arial" w:hAnsi="Century Gothic" w:cs="Arial"/>
          <w:noProof/>
          <w:sz w:val="24"/>
          <w:szCs w:val="24"/>
        </w:rPr>
        <w:drawing>
          <wp:inline distT="114300" distB="114300" distL="114300" distR="114300" wp14:anchorId="495164E6" wp14:editId="5298AAF0">
            <wp:extent cx="4953000" cy="2809875"/>
            <wp:effectExtent l="0" t="0" r="0" b="0"/>
            <wp:docPr id="17094657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953000" cy="2809875"/>
                    </a:xfrm>
                    <a:prstGeom prst="rect">
                      <a:avLst/>
                    </a:prstGeom>
                    <a:ln/>
                  </pic:spPr>
                </pic:pic>
              </a:graphicData>
            </a:graphic>
          </wp:inline>
        </w:drawing>
      </w:r>
    </w:p>
    <w:p w14:paraId="6AD1379A" w14:textId="77777777" w:rsidR="00F2150C" w:rsidRPr="0016703E" w:rsidRDefault="00F2150C" w:rsidP="0016703E">
      <w:pPr>
        <w:spacing w:after="0" w:line="240" w:lineRule="auto"/>
        <w:jc w:val="center"/>
        <w:rPr>
          <w:rFonts w:ascii="Century Gothic" w:eastAsia="Arial" w:hAnsi="Century Gothic" w:cs="Arial"/>
          <w:sz w:val="24"/>
          <w:szCs w:val="24"/>
        </w:rPr>
      </w:pPr>
    </w:p>
    <w:p w14:paraId="774F124B" w14:textId="77777777" w:rsidR="00F2150C" w:rsidRPr="0016703E" w:rsidRDefault="00D84AD5" w:rsidP="0016703E">
      <w:pPr>
        <w:spacing w:after="0" w:line="240" w:lineRule="auto"/>
        <w:ind w:left="720"/>
        <w:jc w:val="both"/>
        <w:rPr>
          <w:rFonts w:ascii="Century Gothic" w:eastAsia="Arial" w:hAnsi="Century Gothic" w:cs="Arial"/>
          <w:sz w:val="24"/>
          <w:szCs w:val="24"/>
        </w:rPr>
      </w:pPr>
      <w:r w:rsidRPr="0016703E">
        <w:rPr>
          <w:rFonts w:ascii="Century Gothic" w:eastAsia="Arial" w:hAnsi="Century Gothic" w:cs="Arial"/>
          <w:sz w:val="24"/>
          <w:szCs w:val="24"/>
        </w:rPr>
        <w:t>Figura 4. Subtipos de SII</w:t>
      </w:r>
    </w:p>
    <w:p w14:paraId="2F7DB11F" w14:textId="77777777" w:rsidR="00F2150C" w:rsidRPr="0016703E" w:rsidRDefault="00D84AD5" w:rsidP="0016703E">
      <w:pPr>
        <w:spacing w:after="0" w:line="240" w:lineRule="auto"/>
        <w:ind w:left="720"/>
        <w:jc w:val="both"/>
        <w:rPr>
          <w:rFonts w:ascii="Century Gothic" w:eastAsia="Arial" w:hAnsi="Century Gothic" w:cs="Arial"/>
          <w:sz w:val="24"/>
          <w:szCs w:val="24"/>
        </w:rPr>
      </w:pPr>
      <w:r w:rsidRPr="0016703E">
        <w:rPr>
          <w:rFonts w:ascii="Century Gothic" w:eastAsia="Arial" w:hAnsi="Century Gothic" w:cs="Arial"/>
          <w:sz w:val="24"/>
          <w:szCs w:val="24"/>
        </w:rPr>
        <w:t>Fuente: Otero R. W, Otero P. L, Marulanda F. H (1).</w:t>
      </w:r>
    </w:p>
    <w:p w14:paraId="0400BF11" w14:textId="77777777" w:rsidR="00F2150C" w:rsidRPr="0016703E" w:rsidRDefault="00F2150C" w:rsidP="0016703E">
      <w:pPr>
        <w:spacing w:after="0" w:line="240" w:lineRule="auto"/>
        <w:jc w:val="center"/>
        <w:rPr>
          <w:rFonts w:ascii="Century Gothic" w:eastAsia="Arial" w:hAnsi="Century Gothic" w:cs="Arial"/>
          <w:sz w:val="24"/>
          <w:szCs w:val="24"/>
        </w:rPr>
      </w:pPr>
    </w:p>
    <w:p w14:paraId="2BAEA99F" w14:textId="77777777" w:rsidR="00F2150C" w:rsidRPr="0016703E" w:rsidRDefault="00D84AD5" w:rsidP="0016703E">
      <w:pPr>
        <w:numPr>
          <w:ilvl w:val="0"/>
          <w:numId w:val="9"/>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SII con estreñimiento predominante: Cuando el paciente informa que las deposiciones predominantes son del tipo 1 y 2 de la escala de Bristol.</w:t>
      </w:r>
    </w:p>
    <w:p w14:paraId="66AE064F" w14:textId="77777777" w:rsidR="00F2150C" w:rsidRPr="0016703E" w:rsidRDefault="00D84AD5" w:rsidP="0016703E">
      <w:pPr>
        <w:numPr>
          <w:ilvl w:val="0"/>
          <w:numId w:val="9"/>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SII con diarrea predominante: el paciente informa que las deposiciones anormales suelen ser tipo 6 y 7 en la escala Bristol.</w:t>
      </w:r>
    </w:p>
    <w:p w14:paraId="3D3504D4" w14:textId="77777777" w:rsidR="00F2150C" w:rsidRPr="0016703E" w:rsidRDefault="00D84AD5" w:rsidP="0016703E">
      <w:pPr>
        <w:numPr>
          <w:ilvl w:val="0"/>
          <w:numId w:val="9"/>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SII con hábitos alternantes: los pacientes presentan deposiciones que van del estreñimiento a la diarrea de forma alternada.</w:t>
      </w:r>
    </w:p>
    <w:p w14:paraId="360703B8" w14:textId="77777777" w:rsidR="00F2150C" w:rsidRPr="0016703E" w:rsidRDefault="00D84AD5" w:rsidP="0016703E">
      <w:pPr>
        <w:numPr>
          <w:ilvl w:val="0"/>
          <w:numId w:val="9"/>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SII inclasificable: paciente que cumple los criterios ROMA IV sin embargo en la escala Bristol no es preciso clasificarlo en uno de los tres subtipos.</w:t>
      </w:r>
    </w:p>
    <w:p w14:paraId="4626875B" w14:textId="77777777" w:rsidR="00F2150C" w:rsidRPr="0016703E" w:rsidRDefault="00F574A1" w:rsidP="0016703E">
      <w:pPr>
        <w:spacing w:after="0" w:line="240" w:lineRule="auto"/>
        <w:jc w:val="both"/>
        <w:rPr>
          <w:rFonts w:ascii="Century Gothic" w:eastAsia="Arial" w:hAnsi="Century Gothic" w:cs="Arial"/>
          <w:sz w:val="24"/>
          <w:szCs w:val="24"/>
        </w:rPr>
      </w:pPr>
      <w:sdt>
        <w:sdtPr>
          <w:rPr>
            <w:rFonts w:ascii="Century Gothic" w:hAnsi="Century Gothic"/>
            <w:sz w:val="24"/>
            <w:szCs w:val="24"/>
          </w:rPr>
          <w:tag w:val="goog_rdk_4"/>
          <w:id w:val="-1501112830"/>
        </w:sdtPr>
        <w:sdtEndPr/>
        <w:sdtContent/>
      </w:sdt>
    </w:p>
    <w:p w14:paraId="4F237BE9" w14:textId="77777777" w:rsidR="00F2150C" w:rsidRDefault="00D84AD5" w:rsidP="0016703E">
      <w:pPr>
        <w:pBdr>
          <w:top w:val="nil"/>
          <w:left w:val="nil"/>
          <w:bottom w:val="nil"/>
          <w:right w:val="nil"/>
          <w:between w:val="nil"/>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En aquellos pacientes en los cuales no hay mejoría de los síntomas a pesar de 6 a 12 semanas de tratamiento se deber</w:t>
      </w:r>
      <w:r w:rsidRPr="0016703E">
        <w:rPr>
          <w:rFonts w:ascii="Century Gothic" w:eastAsia="Arial" w:hAnsi="Century Gothic" w:cs="Arial"/>
          <w:sz w:val="24"/>
          <w:szCs w:val="24"/>
          <w:highlight w:val="white"/>
        </w:rPr>
        <w:t xml:space="preserve">á indicar la toma de muestra de calprotectina fecal o lactoferrina fecal para establecer el diagnóstico diferencial con enfermedad </w:t>
      </w:r>
      <w:r w:rsidRPr="0016703E">
        <w:rPr>
          <w:rFonts w:ascii="Century Gothic" w:eastAsia="Arial" w:hAnsi="Century Gothic" w:cs="Arial"/>
          <w:sz w:val="24"/>
          <w:szCs w:val="24"/>
        </w:rPr>
        <w:t>inflamatoria intestinal (4).</w:t>
      </w:r>
    </w:p>
    <w:p w14:paraId="0D2869EC" w14:textId="77777777" w:rsidR="003976DD" w:rsidRPr="0016703E" w:rsidRDefault="003976DD" w:rsidP="0016703E">
      <w:pPr>
        <w:pBdr>
          <w:top w:val="nil"/>
          <w:left w:val="nil"/>
          <w:bottom w:val="nil"/>
          <w:right w:val="nil"/>
          <w:between w:val="nil"/>
        </w:pBdr>
        <w:spacing w:after="0" w:line="240" w:lineRule="auto"/>
        <w:jc w:val="both"/>
        <w:rPr>
          <w:rFonts w:ascii="Century Gothic" w:eastAsia="Arial" w:hAnsi="Century Gothic" w:cs="Arial"/>
          <w:sz w:val="24"/>
          <w:szCs w:val="24"/>
        </w:rPr>
      </w:pPr>
    </w:p>
    <w:p w14:paraId="1F5568EC" w14:textId="77777777" w:rsidR="00F2150C" w:rsidRDefault="00D84AD5" w:rsidP="0016703E">
      <w:pPr>
        <w:pBdr>
          <w:top w:val="nil"/>
          <w:left w:val="nil"/>
          <w:bottom w:val="nil"/>
          <w:right w:val="nil"/>
          <w:between w:val="nil"/>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Otras condiciones médicas con las cuales debe hacerse diagnóstico diferencial son: enfermedad de Crohn, porfiria, isquemia, pancreatitis crónica, linfoma del tracto gastrointestinal y endometriosis (5).</w:t>
      </w:r>
    </w:p>
    <w:p w14:paraId="1F64A663" w14:textId="77777777" w:rsidR="003976DD" w:rsidRPr="0016703E" w:rsidRDefault="003976DD" w:rsidP="0016703E">
      <w:pPr>
        <w:pBdr>
          <w:top w:val="nil"/>
          <w:left w:val="nil"/>
          <w:bottom w:val="nil"/>
          <w:right w:val="nil"/>
          <w:between w:val="nil"/>
        </w:pBdr>
        <w:spacing w:after="0" w:line="240" w:lineRule="auto"/>
        <w:jc w:val="both"/>
        <w:rPr>
          <w:rFonts w:ascii="Century Gothic" w:eastAsia="Arial" w:hAnsi="Century Gothic" w:cs="Arial"/>
          <w:sz w:val="24"/>
          <w:szCs w:val="24"/>
        </w:rPr>
      </w:pPr>
    </w:p>
    <w:p w14:paraId="2AA6DFF5" w14:textId="4E597117" w:rsidR="00F2150C" w:rsidRDefault="00D84AD5" w:rsidP="0016703E">
      <w:pPr>
        <w:pBdr>
          <w:top w:val="nil"/>
          <w:left w:val="nil"/>
          <w:bottom w:val="nil"/>
          <w:right w:val="nil"/>
          <w:between w:val="nil"/>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highlight w:val="white"/>
        </w:rPr>
        <w:t xml:space="preserve">Finalmente, aquellos pacientes con banderas rojas, aunque cumplan los criterios de SII, deben </w:t>
      </w:r>
      <w:r w:rsidR="003976DD">
        <w:rPr>
          <w:rFonts w:ascii="Century Gothic" w:eastAsia="Arial" w:hAnsi="Century Gothic" w:cs="Arial"/>
          <w:sz w:val="24"/>
          <w:szCs w:val="24"/>
          <w:highlight w:val="white"/>
        </w:rPr>
        <w:t>remitirse</w:t>
      </w:r>
      <w:r w:rsidRPr="0016703E">
        <w:rPr>
          <w:rFonts w:ascii="Century Gothic" w:eastAsia="Arial" w:hAnsi="Century Gothic" w:cs="Arial"/>
          <w:sz w:val="24"/>
          <w:szCs w:val="24"/>
          <w:highlight w:val="white"/>
        </w:rPr>
        <w:t xml:space="preserve"> a exámenes complementa</w:t>
      </w:r>
      <w:r w:rsidRPr="0016703E">
        <w:rPr>
          <w:rFonts w:ascii="Century Gothic" w:eastAsia="Arial" w:hAnsi="Century Gothic" w:cs="Arial"/>
          <w:sz w:val="24"/>
          <w:szCs w:val="24"/>
        </w:rPr>
        <w:t>rios (1).</w:t>
      </w:r>
    </w:p>
    <w:p w14:paraId="7B4B65F3" w14:textId="77777777" w:rsidR="003976DD" w:rsidRDefault="003976DD" w:rsidP="0016703E">
      <w:pPr>
        <w:pStyle w:val="Ttulo1"/>
        <w:spacing w:before="0" w:beforeAutospacing="0" w:after="0" w:afterAutospacing="0"/>
        <w:rPr>
          <w:rFonts w:ascii="Century Gothic" w:eastAsia="Arial" w:hAnsi="Century Gothic" w:cs="Arial"/>
          <w:sz w:val="24"/>
          <w:szCs w:val="24"/>
        </w:rPr>
      </w:pPr>
    </w:p>
    <w:p w14:paraId="7B2A73E9" w14:textId="2029B682" w:rsidR="00F2150C" w:rsidRDefault="00D84AD5" w:rsidP="0016703E">
      <w:pPr>
        <w:pStyle w:val="Ttulo1"/>
        <w:spacing w:before="0" w:beforeAutospacing="0" w:after="0" w:afterAutospacing="0"/>
        <w:rPr>
          <w:rFonts w:ascii="Century Gothic" w:eastAsia="Arial" w:hAnsi="Century Gothic" w:cs="Arial"/>
          <w:sz w:val="24"/>
          <w:szCs w:val="24"/>
        </w:rPr>
      </w:pPr>
      <w:r w:rsidRPr="0016703E">
        <w:rPr>
          <w:rFonts w:ascii="Century Gothic" w:eastAsia="Arial" w:hAnsi="Century Gothic" w:cs="Arial"/>
          <w:sz w:val="24"/>
          <w:szCs w:val="24"/>
        </w:rPr>
        <w:t>TRATAMIENTO</w:t>
      </w:r>
    </w:p>
    <w:p w14:paraId="3827F6BD" w14:textId="77777777" w:rsidR="003976DD" w:rsidRPr="0016703E" w:rsidRDefault="003976DD" w:rsidP="0016703E">
      <w:pPr>
        <w:pStyle w:val="Ttulo1"/>
        <w:spacing w:before="0" w:beforeAutospacing="0" w:after="0" w:afterAutospacing="0"/>
        <w:rPr>
          <w:rFonts w:ascii="Century Gothic" w:eastAsia="Arial" w:hAnsi="Century Gothic" w:cs="Arial"/>
          <w:sz w:val="24"/>
          <w:szCs w:val="24"/>
        </w:rPr>
      </w:pPr>
    </w:p>
    <w:p w14:paraId="26ADB931" w14:textId="77777777" w:rsidR="00F2150C" w:rsidRDefault="00F574A1" w:rsidP="0016703E">
      <w:pPr>
        <w:spacing w:after="0" w:line="240" w:lineRule="auto"/>
        <w:jc w:val="both"/>
        <w:rPr>
          <w:rFonts w:ascii="Century Gothic" w:eastAsia="Arial" w:hAnsi="Century Gothic" w:cs="Arial"/>
          <w:sz w:val="24"/>
          <w:szCs w:val="24"/>
        </w:rPr>
      </w:pPr>
      <w:sdt>
        <w:sdtPr>
          <w:rPr>
            <w:rFonts w:ascii="Century Gothic" w:hAnsi="Century Gothic"/>
            <w:sz w:val="24"/>
            <w:szCs w:val="24"/>
          </w:rPr>
          <w:tag w:val="goog_rdk_5"/>
          <w:id w:val="-650839540"/>
        </w:sdtPr>
        <w:sdtEndPr/>
        <w:sdtContent/>
      </w:sdt>
      <w:r w:rsidR="00D84AD5" w:rsidRPr="0016703E">
        <w:rPr>
          <w:rFonts w:ascii="Century Gothic" w:eastAsia="Arial" w:hAnsi="Century Gothic" w:cs="Arial"/>
          <w:sz w:val="24"/>
          <w:szCs w:val="24"/>
        </w:rPr>
        <w:t>El tratamiento deberá ser escalonado, racional y en función de la etapa de la enfermedad junto con el síntoma predominante. Además, será combinado, farmacológico y no farmacológico, en función de la situación particular del paciente (condición clínica, posibilidades, cultural) (4).</w:t>
      </w:r>
    </w:p>
    <w:p w14:paraId="39362FAE" w14:textId="77777777" w:rsidR="003976DD" w:rsidRPr="0016703E" w:rsidRDefault="003976DD" w:rsidP="0016703E">
      <w:pPr>
        <w:spacing w:after="0" w:line="240" w:lineRule="auto"/>
        <w:jc w:val="both"/>
        <w:rPr>
          <w:rFonts w:ascii="Century Gothic" w:eastAsia="Arial" w:hAnsi="Century Gothic" w:cs="Arial"/>
          <w:sz w:val="24"/>
          <w:szCs w:val="24"/>
          <w:highlight w:val="yellow"/>
        </w:rPr>
      </w:pPr>
    </w:p>
    <w:p w14:paraId="71A656E7" w14:textId="77777777" w:rsidR="00F2150C" w:rsidRDefault="00D84AD5" w:rsidP="0016703E">
      <w:pPr>
        <w:spacing w:after="0" w:line="240" w:lineRule="auto"/>
        <w:jc w:val="both"/>
        <w:rPr>
          <w:rFonts w:ascii="Century Gothic" w:eastAsia="Arial" w:hAnsi="Century Gothic" w:cs="Arial"/>
          <w:b/>
          <w:sz w:val="24"/>
          <w:szCs w:val="24"/>
          <w:highlight w:val="white"/>
        </w:rPr>
      </w:pPr>
      <w:r w:rsidRPr="0016703E">
        <w:rPr>
          <w:rFonts w:ascii="Century Gothic" w:eastAsia="Arial" w:hAnsi="Century Gothic" w:cs="Arial"/>
          <w:b/>
          <w:sz w:val="24"/>
          <w:szCs w:val="24"/>
          <w:highlight w:val="white"/>
        </w:rPr>
        <w:t>No farmacológico</w:t>
      </w:r>
    </w:p>
    <w:p w14:paraId="3A7C9CF8" w14:textId="77777777" w:rsidR="003976DD" w:rsidRPr="0016703E" w:rsidRDefault="003976DD" w:rsidP="0016703E">
      <w:pPr>
        <w:spacing w:after="0" w:line="240" w:lineRule="auto"/>
        <w:jc w:val="both"/>
        <w:rPr>
          <w:rFonts w:ascii="Century Gothic" w:eastAsia="Arial" w:hAnsi="Century Gothic" w:cs="Arial"/>
          <w:b/>
          <w:sz w:val="24"/>
          <w:szCs w:val="24"/>
          <w:highlight w:val="white"/>
        </w:rPr>
      </w:pPr>
    </w:p>
    <w:p w14:paraId="1560CE69" w14:textId="77777777" w:rsidR="00F2150C" w:rsidRDefault="00D84AD5"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De manera inicial se realizan medidas higiénico dietéticas para el manejo del SII así:</w:t>
      </w:r>
    </w:p>
    <w:p w14:paraId="345ADD54" w14:textId="77777777" w:rsidR="003976DD" w:rsidRPr="0016703E" w:rsidRDefault="003976DD" w:rsidP="0016703E">
      <w:pPr>
        <w:spacing w:after="0" w:line="240" w:lineRule="auto"/>
        <w:jc w:val="both"/>
        <w:rPr>
          <w:rFonts w:ascii="Century Gothic" w:eastAsia="Arial" w:hAnsi="Century Gothic" w:cs="Arial"/>
          <w:sz w:val="24"/>
          <w:szCs w:val="24"/>
        </w:rPr>
      </w:pPr>
    </w:p>
    <w:p w14:paraId="3DDB5A9A" w14:textId="77777777" w:rsidR="00F2150C" w:rsidRPr="0016703E" w:rsidRDefault="00D84AD5" w:rsidP="003976DD">
      <w:pPr>
        <w:spacing w:after="0" w:line="240" w:lineRule="auto"/>
        <w:jc w:val="both"/>
        <w:rPr>
          <w:rFonts w:ascii="Century Gothic" w:eastAsia="Arial" w:hAnsi="Century Gothic" w:cs="Arial"/>
          <w:sz w:val="24"/>
          <w:szCs w:val="24"/>
        </w:rPr>
      </w:pPr>
      <w:r w:rsidRPr="0016703E">
        <w:rPr>
          <w:rFonts w:ascii="Century Gothic" w:eastAsia="Arial" w:hAnsi="Century Gothic" w:cs="Arial"/>
          <w:b/>
          <w:sz w:val="24"/>
          <w:szCs w:val="24"/>
        </w:rPr>
        <w:t>Ejercicio aeróbico regular</w:t>
      </w:r>
      <w:r w:rsidRPr="0016703E">
        <w:rPr>
          <w:rFonts w:ascii="Century Gothic" w:eastAsia="Arial" w:hAnsi="Century Gothic" w:cs="Arial"/>
          <w:sz w:val="24"/>
          <w:szCs w:val="24"/>
        </w:rPr>
        <w:t xml:space="preserve"> (ajustado a condiciones del individuo y preferencias), esta medida ha demostrado una mejoría significativa en la presencia de síntomas como la distensión abdominal y la retención de gas (23), la consistencia de las heces y de la misma manera mejoran aspectos que influyen en el SII como el estrés y la ansiedad (24-26).</w:t>
      </w:r>
    </w:p>
    <w:p w14:paraId="232F9239" w14:textId="77777777" w:rsidR="00F2150C" w:rsidRPr="0016703E" w:rsidRDefault="00F2150C" w:rsidP="0016703E">
      <w:pPr>
        <w:spacing w:after="0" w:line="240" w:lineRule="auto"/>
        <w:ind w:left="720"/>
        <w:jc w:val="both"/>
        <w:rPr>
          <w:rFonts w:ascii="Century Gothic" w:eastAsia="Arial" w:hAnsi="Century Gothic" w:cs="Arial"/>
          <w:sz w:val="24"/>
          <w:szCs w:val="24"/>
        </w:rPr>
      </w:pPr>
    </w:p>
    <w:p w14:paraId="73096B19" w14:textId="77777777" w:rsidR="00F2150C" w:rsidRPr="0016703E" w:rsidRDefault="00D84AD5" w:rsidP="003976DD">
      <w:pPr>
        <w:spacing w:after="0" w:line="240" w:lineRule="auto"/>
        <w:jc w:val="both"/>
        <w:rPr>
          <w:rFonts w:ascii="Century Gothic" w:eastAsia="Arial" w:hAnsi="Century Gothic" w:cs="Arial"/>
          <w:sz w:val="24"/>
          <w:szCs w:val="24"/>
        </w:rPr>
      </w:pPr>
      <w:r w:rsidRPr="0016703E">
        <w:rPr>
          <w:rFonts w:ascii="Century Gothic" w:eastAsia="Arial" w:hAnsi="Century Gothic" w:cs="Arial"/>
          <w:b/>
          <w:sz w:val="24"/>
          <w:szCs w:val="24"/>
        </w:rPr>
        <w:t>Ingesta adecuada de líquido entre 1,5 a 2 litros/día.</w:t>
      </w:r>
      <w:r w:rsidRPr="0016703E">
        <w:rPr>
          <w:rFonts w:ascii="Century Gothic" w:eastAsia="Arial" w:hAnsi="Century Gothic" w:cs="Arial"/>
          <w:sz w:val="24"/>
          <w:szCs w:val="24"/>
        </w:rPr>
        <w:t xml:space="preserve"> Esta es una recomendación realizada por la mayoría de las guías clínicas, se ha encontrado que consumir 2 litros asociado a un aumento de la ingesta de fibra mejora la frecuencia de las deposiciones, sin embargo, siempre debe acompañarse de otras medidas, ya que la ingesta por sí sola no ha demostrado impacto (27-30).</w:t>
      </w:r>
    </w:p>
    <w:p w14:paraId="4B5E887B" w14:textId="77777777" w:rsidR="00F2150C" w:rsidRPr="0016703E" w:rsidRDefault="00F2150C" w:rsidP="0016703E">
      <w:pPr>
        <w:spacing w:after="0" w:line="240" w:lineRule="auto"/>
        <w:ind w:left="720"/>
        <w:jc w:val="both"/>
        <w:rPr>
          <w:rFonts w:ascii="Century Gothic" w:eastAsia="Arial" w:hAnsi="Century Gothic" w:cs="Arial"/>
          <w:sz w:val="24"/>
          <w:szCs w:val="24"/>
        </w:rPr>
      </w:pPr>
    </w:p>
    <w:p w14:paraId="04A6ADD4" w14:textId="77777777" w:rsidR="00F2150C" w:rsidRPr="0016703E" w:rsidRDefault="00D84AD5" w:rsidP="003976DD">
      <w:pPr>
        <w:spacing w:after="0" w:line="240" w:lineRule="auto"/>
        <w:jc w:val="both"/>
        <w:rPr>
          <w:rFonts w:ascii="Century Gothic" w:eastAsia="Arial" w:hAnsi="Century Gothic" w:cs="Arial"/>
          <w:sz w:val="24"/>
          <w:szCs w:val="24"/>
        </w:rPr>
      </w:pPr>
      <w:r w:rsidRPr="0016703E">
        <w:rPr>
          <w:rFonts w:ascii="Century Gothic" w:eastAsia="Arial" w:hAnsi="Century Gothic" w:cs="Arial"/>
          <w:b/>
          <w:sz w:val="24"/>
          <w:szCs w:val="24"/>
        </w:rPr>
        <w:t>Ingesta de 25 a 30 gramos de fibra soluble en la dieta del día</w:t>
      </w:r>
      <w:r w:rsidRPr="0016703E">
        <w:rPr>
          <w:rFonts w:ascii="Century Gothic" w:eastAsia="Arial" w:hAnsi="Century Gothic" w:cs="Arial"/>
          <w:sz w:val="24"/>
          <w:szCs w:val="24"/>
        </w:rPr>
        <w:t xml:space="preserve">. Se debe tener en cuenta que el consumo de la fibra debe ser progresivo, de la misma manera si bien puede mejorar la frecuencia de las deposiciones, también puede aumentar el dolor abdominal y la distensión especialmente en los casos de SII con estreñimiento. La fibra soluble (ispagula, psilio) es apropiada </w:t>
      </w:r>
      <w:r w:rsidRPr="0016703E">
        <w:rPr>
          <w:rFonts w:ascii="Century Gothic" w:eastAsia="Arial" w:hAnsi="Century Gothic" w:cs="Arial"/>
          <w:sz w:val="24"/>
          <w:szCs w:val="24"/>
        </w:rPr>
        <w:lastRenderedPageBreak/>
        <w:t>para el tratamiento sintomático del estreñimiento, mientras que la fibra insoluble (salvado de trigo, fibra de maíz) no ha demostrado los mismos resultados (31).</w:t>
      </w:r>
    </w:p>
    <w:p w14:paraId="09675B03" w14:textId="77777777" w:rsidR="00F2150C" w:rsidRPr="0016703E" w:rsidRDefault="00F2150C" w:rsidP="0016703E">
      <w:pPr>
        <w:spacing w:after="0" w:line="240" w:lineRule="auto"/>
        <w:ind w:left="720"/>
        <w:jc w:val="both"/>
        <w:rPr>
          <w:rFonts w:ascii="Century Gothic" w:eastAsia="Arial" w:hAnsi="Century Gothic" w:cs="Arial"/>
          <w:sz w:val="24"/>
          <w:szCs w:val="24"/>
        </w:rPr>
      </w:pPr>
    </w:p>
    <w:p w14:paraId="5D1B3005" w14:textId="77777777" w:rsidR="00F2150C" w:rsidRPr="0016703E" w:rsidRDefault="00D84AD5" w:rsidP="003976DD">
      <w:pPr>
        <w:spacing w:after="0" w:line="240" w:lineRule="auto"/>
        <w:jc w:val="both"/>
        <w:rPr>
          <w:rFonts w:ascii="Century Gothic" w:eastAsia="Arial" w:hAnsi="Century Gothic" w:cs="Arial"/>
          <w:sz w:val="24"/>
          <w:szCs w:val="24"/>
        </w:rPr>
      </w:pPr>
      <w:r w:rsidRPr="0016703E">
        <w:rPr>
          <w:rFonts w:ascii="Century Gothic" w:eastAsia="Arial" w:hAnsi="Century Gothic" w:cs="Arial"/>
          <w:b/>
          <w:sz w:val="24"/>
          <w:szCs w:val="24"/>
        </w:rPr>
        <w:t>Dieta equilibrada.</w:t>
      </w:r>
      <w:r w:rsidRPr="0016703E">
        <w:rPr>
          <w:rFonts w:ascii="Century Gothic" w:eastAsia="Arial" w:hAnsi="Century Gothic" w:cs="Arial"/>
          <w:sz w:val="24"/>
          <w:szCs w:val="24"/>
        </w:rPr>
        <w:t xml:space="preserve"> En diferentes estudios clínicos se evidenció que la ingesta de trigo aumentó el dolor abdominal y la distensión (32), por otra parte, la lactosa y el gluten no demostró impacto o diferencia entre personas con SII y personas sanas (33).</w:t>
      </w:r>
    </w:p>
    <w:p w14:paraId="4DE5E4D1" w14:textId="77777777" w:rsidR="003976DD" w:rsidRDefault="003976DD" w:rsidP="003976DD">
      <w:pPr>
        <w:spacing w:after="0" w:line="240" w:lineRule="auto"/>
        <w:jc w:val="both"/>
        <w:rPr>
          <w:rFonts w:ascii="Century Gothic" w:eastAsia="Arial" w:hAnsi="Century Gothic" w:cs="Arial"/>
          <w:sz w:val="24"/>
          <w:szCs w:val="24"/>
        </w:rPr>
      </w:pPr>
    </w:p>
    <w:p w14:paraId="770E16EA" w14:textId="1CE9BC34" w:rsidR="00F2150C" w:rsidRPr="0016703E" w:rsidRDefault="00D84AD5" w:rsidP="003976DD">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Evaluar de manera individual la exclusión del sorbitol, grasas, alcohol, trigo, frutos secos o la leche, ya que de manera general no se ha demostrado que mejoran la sintomatología, sin embargo, algunas personas presentan problemas específicos con este tipo de alimentos.</w:t>
      </w:r>
    </w:p>
    <w:p w14:paraId="72920CCF" w14:textId="77777777" w:rsidR="00F2150C" w:rsidRPr="0016703E" w:rsidRDefault="00F2150C" w:rsidP="0016703E">
      <w:pPr>
        <w:spacing w:after="0" w:line="240" w:lineRule="auto"/>
        <w:ind w:left="720"/>
        <w:jc w:val="both"/>
        <w:rPr>
          <w:rFonts w:ascii="Century Gothic" w:eastAsia="Arial" w:hAnsi="Century Gothic" w:cs="Arial"/>
          <w:b/>
          <w:sz w:val="24"/>
          <w:szCs w:val="24"/>
        </w:rPr>
      </w:pPr>
    </w:p>
    <w:p w14:paraId="68026080" w14:textId="77777777" w:rsidR="00F2150C" w:rsidRPr="0016703E" w:rsidRDefault="00D84AD5" w:rsidP="003976DD">
      <w:pPr>
        <w:spacing w:after="0" w:line="240" w:lineRule="auto"/>
        <w:jc w:val="both"/>
        <w:rPr>
          <w:rFonts w:ascii="Century Gothic" w:eastAsia="Arial" w:hAnsi="Century Gothic" w:cs="Arial"/>
          <w:b/>
          <w:sz w:val="24"/>
          <w:szCs w:val="24"/>
        </w:rPr>
      </w:pPr>
      <w:r w:rsidRPr="0016703E">
        <w:rPr>
          <w:rFonts w:ascii="Century Gothic" w:eastAsia="Arial" w:hAnsi="Century Gothic" w:cs="Arial"/>
          <w:b/>
          <w:sz w:val="24"/>
          <w:szCs w:val="24"/>
        </w:rPr>
        <w:t xml:space="preserve">Patrón comidas: </w:t>
      </w:r>
      <w:r w:rsidRPr="0016703E">
        <w:rPr>
          <w:rFonts w:ascii="Century Gothic" w:eastAsia="Arial" w:hAnsi="Century Gothic" w:cs="Arial"/>
          <w:sz w:val="24"/>
          <w:szCs w:val="24"/>
        </w:rPr>
        <w:t>regular, porcionado. Evitar comidas copiosas, grasas, fibra insoluble y alimentos flatulentos</w:t>
      </w:r>
    </w:p>
    <w:p w14:paraId="3E3CFFB8" w14:textId="77777777" w:rsidR="00F2150C" w:rsidRPr="0016703E" w:rsidRDefault="00F2150C" w:rsidP="0016703E">
      <w:pPr>
        <w:spacing w:after="0" w:line="240" w:lineRule="auto"/>
        <w:ind w:left="720"/>
        <w:jc w:val="both"/>
        <w:rPr>
          <w:rFonts w:ascii="Century Gothic" w:eastAsia="Arial" w:hAnsi="Century Gothic" w:cs="Arial"/>
          <w:sz w:val="24"/>
          <w:szCs w:val="24"/>
        </w:rPr>
      </w:pPr>
    </w:p>
    <w:p w14:paraId="452AFAED" w14:textId="77777777" w:rsidR="00F2150C" w:rsidRPr="0016703E" w:rsidRDefault="00D84AD5" w:rsidP="003976DD">
      <w:pPr>
        <w:spacing w:after="0" w:line="240" w:lineRule="auto"/>
        <w:jc w:val="both"/>
        <w:rPr>
          <w:rFonts w:ascii="Century Gothic" w:eastAsia="Arial" w:hAnsi="Century Gothic" w:cs="Arial"/>
          <w:sz w:val="24"/>
          <w:szCs w:val="24"/>
        </w:rPr>
      </w:pPr>
      <w:r w:rsidRPr="0016703E">
        <w:rPr>
          <w:rFonts w:ascii="Century Gothic" w:eastAsia="Arial" w:hAnsi="Century Gothic" w:cs="Arial"/>
          <w:b/>
          <w:sz w:val="24"/>
          <w:szCs w:val="24"/>
        </w:rPr>
        <w:t>Probióticos:</w:t>
      </w:r>
      <w:r w:rsidRPr="0016703E">
        <w:rPr>
          <w:rFonts w:ascii="Century Gothic" w:eastAsia="Arial" w:hAnsi="Century Gothic" w:cs="Arial"/>
          <w:sz w:val="24"/>
          <w:szCs w:val="24"/>
        </w:rPr>
        <w:t xml:space="preserve"> </w:t>
      </w:r>
      <w:sdt>
        <w:sdtPr>
          <w:rPr>
            <w:rFonts w:ascii="Century Gothic" w:hAnsi="Century Gothic"/>
            <w:sz w:val="24"/>
            <w:szCs w:val="24"/>
          </w:rPr>
          <w:tag w:val="goog_rdk_6"/>
          <w:id w:val="-320193109"/>
        </w:sdtPr>
        <w:sdtEndPr/>
        <w:sdtContent/>
      </w:sdt>
      <w:r w:rsidRPr="0016703E">
        <w:rPr>
          <w:rFonts w:ascii="Century Gothic" w:eastAsia="Arial" w:hAnsi="Century Gothic" w:cs="Arial"/>
          <w:sz w:val="24"/>
          <w:szCs w:val="24"/>
          <w:highlight w:val="white"/>
        </w:rPr>
        <w:t xml:space="preserve">Se recomienda usar probióticos para mejoría global de síntomas, calidad de vida, distensión abdominal y flatulencias. </w:t>
      </w:r>
    </w:p>
    <w:p w14:paraId="1CE94212" w14:textId="77777777" w:rsidR="00F2150C" w:rsidRPr="0016703E" w:rsidRDefault="00F2150C" w:rsidP="0016703E">
      <w:pPr>
        <w:spacing w:after="0" w:line="240" w:lineRule="auto"/>
        <w:ind w:left="720"/>
        <w:jc w:val="both"/>
        <w:rPr>
          <w:rFonts w:ascii="Century Gothic" w:eastAsia="Arial" w:hAnsi="Century Gothic" w:cs="Arial"/>
          <w:sz w:val="24"/>
          <w:szCs w:val="24"/>
          <w:highlight w:val="white"/>
        </w:rPr>
      </w:pPr>
    </w:p>
    <w:p w14:paraId="3B987C90" w14:textId="77777777" w:rsidR="00F2150C" w:rsidRPr="0016703E" w:rsidRDefault="00D84AD5" w:rsidP="003976DD">
      <w:pPr>
        <w:spacing w:after="0" w:line="240" w:lineRule="auto"/>
        <w:jc w:val="both"/>
        <w:rPr>
          <w:rFonts w:ascii="Century Gothic" w:eastAsia="Arial" w:hAnsi="Century Gothic" w:cs="Arial"/>
          <w:sz w:val="24"/>
          <w:szCs w:val="24"/>
        </w:rPr>
      </w:pPr>
      <w:r w:rsidRPr="0016703E">
        <w:rPr>
          <w:rFonts w:ascii="Century Gothic" w:eastAsia="Arial" w:hAnsi="Century Gothic" w:cs="Arial"/>
          <w:b/>
          <w:sz w:val="24"/>
          <w:szCs w:val="24"/>
        </w:rPr>
        <w:t>Terapias psicológicas:</w:t>
      </w:r>
      <w:r w:rsidRPr="0016703E">
        <w:rPr>
          <w:rFonts w:ascii="Century Gothic" w:eastAsia="Arial" w:hAnsi="Century Gothic" w:cs="Arial"/>
          <w:sz w:val="24"/>
          <w:szCs w:val="24"/>
        </w:rPr>
        <w:t xml:space="preserve"> </w:t>
      </w:r>
      <w:sdt>
        <w:sdtPr>
          <w:rPr>
            <w:rFonts w:ascii="Century Gothic" w:hAnsi="Century Gothic"/>
            <w:sz w:val="24"/>
            <w:szCs w:val="24"/>
          </w:rPr>
          <w:tag w:val="goog_rdk_7"/>
          <w:id w:val="1902016407"/>
        </w:sdtPr>
        <w:sdtEndPr/>
        <w:sdtContent/>
      </w:sdt>
      <w:r w:rsidRPr="0016703E">
        <w:rPr>
          <w:rFonts w:ascii="Century Gothic" w:eastAsia="Arial" w:hAnsi="Century Gothic" w:cs="Arial"/>
          <w:sz w:val="24"/>
          <w:szCs w:val="24"/>
        </w:rPr>
        <w:t>Se sugiere realiza</w:t>
      </w:r>
      <w:r w:rsidRPr="0016703E">
        <w:rPr>
          <w:rFonts w:ascii="Century Gothic" w:eastAsia="Arial" w:hAnsi="Century Gothic" w:cs="Arial"/>
          <w:sz w:val="24"/>
          <w:szCs w:val="24"/>
          <w:highlight w:val="white"/>
        </w:rPr>
        <w:t xml:space="preserve">r terapias psicológicas </w:t>
      </w:r>
      <w:r w:rsidRPr="0016703E">
        <w:rPr>
          <w:rFonts w:ascii="Century Gothic" w:eastAsia="Arial" w:hAnsi="Century Gothic" w:cs="Arial"/>
          <w:sz w:val="24"/>
          <w:szCs w:val="24"/>
        </w:rPr>
        <w:t>(la terapia cognitivo conductual, la terapia de relajación, la terapia psicológica de componentes múltiples y la psicoterapia dinámica) como tratamiento complementario en aquellos pacientes que no han respondido a otras intervenciones farmacológicas y no farmacológicas luego de tres a seis meses de tratamiento adecuado y en aquellos pacientes en quienes adicionalmente se contemple una afectación importante en la esfera emocional para mejorar algunos síntomas y la calidad de vida (4).</w:t>
      </w:r>
    </w:p>
    <w:p w14:paraId="563CD5A0" w14:textId="77777777" w:rsidR="00F2150C" w:rsidRPr="0016703E" w:rsidRDefault="00F2150C" w:rsidP="0016703E">
      <w:pPr>
        <w:spacing w:after="0" w:line="240" w:lineRule="auto"/>
        <w:jc w:val="both"/>
        <w:rPr>
          <w:rFonts w:ascii="Century Gothic" w:eastAsia="Arial" w:hAnsi="Century Gothic" w:cs="Arial"/>
          <w:b/>
          <w:i/>
          <w:sz w:val="24"/>
          <w:szCs w:val="24"/>
          <w:highlight w:val="white"/>
        </w:rPr>
      </w:pPr>
    </w:p>
    <w:p w14:paraId="76DC3BEE" w14:textId="77777777" w:rsidR="00F2150C" w:rsidRDefault="00D84AD5"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Para que las medidas anteriormente citadas tengan éxito también se debe llevar a cabo orientaciones como:</w:t>
      </w:r>
    </w:p>
    <w:p w14:paraId="5F0AD18F" w14:textId="77777777" w:rsidR="003976DD" w:rsidRPr="0016703E" w:rsidRDefault="003976DD" w:rsidP="0016703E">
      <w:pPr>
        <w:spacing w:after="0" w:line="240" w:lineRule="auto"/>
        <w:jc w:val="both"/>
        <w:rPr>
          <w:rFonts w:ascii="Century Gothic" w:eastAsia="Arial" w:hAnsi="Century Gothic" w:cs="Arial"/>
          <w:sz w:val="24"/>
          <w:szCs w:val="24"/>
        </w:rPr>
      </w:pPr>
    </w:p>
    <w:p w14:paraId="79F40D5F" w14:textId="77777777" w:rsidR="00F2150C" w:rsidRPr="0016703E" w:rsidRDefault="00D84AD5" w:rsidP="0016703E">
      <w:pPr>
        <w:numPr>
          <w:ilvl w:val="0"/>
          <w:numId w:val="1"/>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Facilitar recordatorios.</w:t>
      </w:r>
    </w:p>
    <w:p w14:paraId="22B1F5B7" w14:textId="77777777" w:rsidR="00F2150C" w:rsidRPr="0016703E" w:rsidRDefault="00D84AD5" w:rsidP="0016703E">
      <w:pPr>
        <w:numPr>
          <w:ilvl w:val="0"/>
          <w:numId w:val="1"/>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Elaborar calendarios de cumplimiento.</w:t>
      </w:r>
    </w:p>
    <w:p w14:paraId="202C3F3B" w14:textId="77777777" w:rsidR="00F2150C" w:rsidRPr="0016703E" w:rsidRDefault="00D84AD5" w:rsidP="0016703E">
      <w:pPr>
        <w:numPr>
          <w:ilvl w:val="0"/>
          <w:numId w:val="1"/>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Proveer información sobre la fisiopatología, acorde a nivel cultural.</w:t>
      </w:r>
    </w:p>
    <w:p w14:paraId="5C82746D" w14:textId="77777777" w:rsidR="00F2150C" w:rsidRPr="0016703E" w:rsidRDefault="00D84AD5" w:rsidP="0016703E">
      <w:pPr>
        <w:numPr>
          <w:ilvl w:val="0"/>
          <w:numId w:val="1"/>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Incluir a los familiares y cuidadores.</w:t>
      </w:r>
    </w:p>
    <w:p w14:paraId="13B96A11" w14:textId="77777777" w:rsidR="00F2150C" w:rsidRPr="0016703E" w:rsidRDefault="00F2150C" w:rsidP="0016703E">
      <w:pPr>
        <w:spacing w:after="0" w:line="240" w:lineRule="auto"/>
        <w:jc w:val="both"/>
        <w:rPr>
          <w:rFonts w:ascii="Century Gothic" w:eastAsia="Arial" w:hAnsi="Century Gothic" w:cs="Arial"/>
          <w:sz w:val="24"/>
          <w:szCs w:val="24"/>
          <w:highlight w:val="white"/>
        </w:rPr>
      </w:pPr>
    </w:p>
    <w:p w14:paraId="5DD8F32D" w14:textId="77777777" w:rsidR="003976DD" w:rsidRDefault="003976DD" w:rsidP="0016703E">
      <w:pPr>
        <w:spacing w:after="0" w:line="240" w:lineRule="auto"/>
        <w:jc w:val="both"/>
        <w:rPr>
          <w:rFonts w:ascii="Century Gothic" w:eastAsia="Arial" w:hAnsi="Century Gothic" w:cs="Arial"/>
          <w:b/>
          <w:sz w:val="24"/>
          <w:szCs w:val="24"/>
          <w:highlight w:val="white"/>
        </w:rPr>
      </w:pPr>
    </w:p>
    <w:p w14:paraId="034BF16C" w14:textId="77777777" w:rsidR="003976DD" w:rsidRDefault="003976DD" w:rsidP="0016703E">
      <w:pPr>
        <w:spacing w:after="0" w:line="240" w:lineRule="auto"/>
        <w:jc w:val="both"/>
        <w:rPr>
          <w:rFonts w:ascii="Century Gothic" w:eastAsia="Arial" w:hAnsi="Century Gothic" w:cs="Arial"/>
          <w:b/>
          <w:sz w:val="24"/>
          <w:szCs w:val="24"/>
          <w:highlight w:val="white"/>
        </w:rPr>
      </w:pPr>
    </w:p>
    <w:p w14:paraId="339A37FC" w14:textId="77777777" w:rsidR="003976DD" w:rsidRDefault="003976DD" w:rsidP="0016703E">
      <w:pPr>
        <w:spacing w:after="0" w:line="240" w:lineRule="auto"/>
        <w:jc w:val="both"/>
        <w:rPr>
          <w:rFonts w:ascii="Century Gothic" w:eastAsia="Arial" w:hAnsi="Century Gothic" w:cs="Arial"/>
          <w:b/>
          <w:sz w:val="24"/>
          <w:szCs w:val="24"/>
          <w:highlight w:val="white"/>
        </w:rPr>
      </w:pPr>
    </w:p>
    <w:p w14:paraId="4B26DA4D" w14:textId="13796812" w:rsidR="00F2150C" w:rsidRDefault="00D84AD5" w:rsidP="0016703E">
      <w:pPr>
        <w:spacing w:after="0" w:line="240" w:lineRule="auto"/>
        <w:jc w:val="both"/>
        <w:rPr>
          <w:rFonts w:ascii="Century Gothic" w:eastAsia="Arial" w:hAnsi="Century Gothic" w:cs="Arial"/>
          <w:b/>
          <w:sz w:val="24"/>
          <w:szCs w:val="24"/>
          <w:highlight w:val="white"/>
        </w:rPr>
      </w:pPr>
      <w:r w:rsidRPr="0016703E">
        <w:rPr>
          <w:rFonts w:ascii="Century Gothic" w:eastAsia="Arial" w:hAnsi="Century Gothic" w:cs="Arial"/>
          <w:b/>
          <w:sz w:val="24"/>
          <w:szCs w:val="24"/>
          <w:highlight w:val="white"/>
        </w:rPr>
        <w:t>Farmacológico</w:t>
      </w:r>
    </w:p>
    <w:p w14:paraId="19B466E2" w14:textId="77777777" w:rsidR="003976DD" w:rsidRPr="0016703E" w:rsidRDefault="003976DD" w:rsidP="0016703E">
      <w:pPr>
        <w:spacing w:after="0" w:line="240" w:lineRule="auto"/>
        <w:jc w:val="both"/>
        <w:rPr>
          <w:rFonts w:ascii="Century Gothic" w:eastAsia="Arial" w:hAnsi="Century Gothic" w:cs="Arial"/>
          <w:b/>
          <w:sz w:val="24"/>
          <w:szCs w:val="24"/>
          <w:highlight w:val="white"/>
        </w:rPr>
      </w:pPr>
    </w:p>
    <w:p w14:paraId="2C91AACB" w14:textId="77777777" w:rsidR="00F2150C" w:rsidRPr="0016703E" w:rsidRDefault="00D84AD5" w:rsidP="0016703E">
      <w:pPr>
        <w:spacing w:after="0" w:line="240" w:lineRule="auto"/>
        <w:jc w:val="both"/>
        <w:rPr>
          <w:rFonts w:ascii="Century Gothic" w:eastAsia="Arial" w:hAnsi="Century Gothic" w:cs="Arial"/>
          <w:sz w:val="24"/>
          <w:szCs w:val="24"/>
          <w:highlight w:val="white"/>
        </w:rPr>
      </w:pPr>
      <w:r w:rsidRPr="0016703E">
        <w:rPr>
          <w:rFonts w:ascii="Century Gothic" w:eastAsia="Arial" w:hAnsi="Century Gothic" w:cs="Arial"/>
          <w:sz w:val="24"/>
          <w:szCs w:val="24"/>
          <w:highlight w:val="white"/>
        </w:rPr>
        <w:t xml:space="preserve">A </w:t>
      </w:r>
      <w:r w:rsidR="00497A99" w:rsidRPr="0016703E">
        <w:rPr>
          <w:rFonts w:ascii="Century Gothic" w:eastAsia="Arial" w:hAnsi="Century Gothic" w:cs="Arial"/>
          <w:sz w:val="24"/>
          <w:szCs w:val="24"/>
          <w:highlight w:val="white"/>
        </w:rPr>
        <w:t>continuación,</w:t>
      </w:r>
      <w:r w:rsidRPr="0016703E">
        <w:rPr>
          <w:rFonts w:ascii="Century Gothic" w:eastAsia="Arial" w:hAnsi="Century Gothic" w:cs="Arial"/>
          <w:sz w:val="24"/>
          <w:szCs w:val="24"/>
          <w:highlight w:val="white"/>
        </w:rPr>
        <w:t xml:space="preserve"> se muestra el tratamiento farmacológico en función de la clasificación del SII:</w:t>
      </w:r>
    </w:p>
    <w:p w14:paraId="6B51FA05" w14:textId="77777777" w:rsidR="00F2150C" w:rsidRPr="0016703E" w:rsidRDefault="00F2150C" w:rsidP="0016703E">
      <w:pPr>
        <w:spacing w:after="0" w:line="240" w:lineRule="auto"/>
        <w:jc w:val="both"/>
        <w:rPr>
          <w:rFonts w:ascii="Century Gothic" w:eastAsia="Arial" w:hAnsi="Century Gothic" w:cs="Arial"/>
          <w:sz w:val="24"/>
          <w:szCs w:val="24"/>
          <w:highlight w:val="white"/>
        </w:rPr>
      </w:pPr>
    </w:p>
    <w:p w14:paraId="42F18E92" w14:textId="77777777" w:rsidR="00F2150C" w:rsidRPr="0016703E" w:rsidRDefault="00D84AD5" w:rsidP="0016703E">
      <w:pPr>
        <w:spacing w:after="0" w:line="240" w:lineRule="auto"/>
        <w:ind w:left="720"/>
        <w:jc w:val="center"/>
        <w:rPr>
          <w:rFonts w:ascii="Century Gothic" w:eastAsia="Arial" w:hAnsi="Century Gothic" w:cs="Arial"/>
          <w:sz w:val="24"/>
          <w:szCs w:val="24"/>
        </w:rPr>
      </w:pPr>
      <w:r w:rsidRPr="0016703E">
        <w:rPr>
          <w:rFonts w:ascii="Century Gothic" w:eastAsia="Arial" w:hAnsi="Century Gothic" w:cs="Arial"/>
          <w:noProof/>
          <w:sz w:val="24"/>
          <w:szCs w:val="24"/>
        </w:rPr>
        <w:drawing>
          <wp:inline distT="114300" distB="114300" distL="114300" distR="114300" wp14:anchorId="45E29BCB" wp14:editId="217F9616">
            <wp:extent cx="5114925" cy="2933700"/>
            <wp:effectExtent l="0" t="0" r="9525" b="0"/>
            <wp:docPr id="17094657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885" t="1936" r="885" b="1355"/>
                    <a:stretch>
                      <a:fillRect/>
                    </a:stretch>
                  </pic:blipFill>
                  <pic:spPr>
                    <a:xfrm>
                      <a:off x="0" y="0"/>
                      <a:ext cx="5114925" cy="2933700"/>
                    </a:xfrm>
                    <a:prstGeom prst="rect">
                      <a:avLst/>
                    </a:prstGeom>
                    <a:ln/>
                  </pic:spPr>
                </pic:pic>
              </a:graphicData>
            </a:graphic>
          </wp:inline>
        </w:drawing>
      </w:r>
    </w:p>
    <w:p w14:paraId="0CB0BFBD" w14:textId="77777777" w:rsidR="003976DD" w:rsidRDefault="003976DD" w:rsidP="0016703E">
      <w:pPr>
        <w:spacing w:after="0" w:line="240" w:lineRule="auto"/>
        <w:jc w:val="both"/>
        <w:rPr>
          <w:rFonts w:ascii="Century Gothic" w:eastAsia="Arial" w:hAnsi="Century Gothic" w:cs="Arial"/>
          <w:sz w:val="24"/>
          <w:szCs w:val="24"/>
        </w:rPr>
      </w:pPr>
    </w:p>
    <w:p w14:paraId="47F76183" w14:textId="1BC5C203" w:rsidR="00F2150C" w:rsidRPr="0016703E" w:rsidRDefault="00497A99"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Tratamiento</w:t>
      </w:r>
      <w:r w:rsidR="00D84AD5" w:rsidRPr="0016703E">
        <w:rPr>
          <w:rFonts w:ascii="Century Gothic" w:eastAsia="Arial" w:hAnsi="Century Gothic" w:cs="Arial"/>
          <w:sz w:val="24"/>
          <w:szCs w:val="24"/>
        </w:rPr>
        <w:t xml:space="preserve"> de Síndrome de Intestino Irritable</w:t>
      </w:r>
    </w:p>
    <w:p w14:paraId="7864BCB2" w14:textId="77777777" w:rsidR="00F2150C" w:rsidRPr="0016703E" w:rsidRDefault="00D84AD5"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Fuente: Guía de práctica clínica en el diagnóstico y tratamiento del SII (4).</w:t>
      </w:r>
    </w:p>
    <w:p w14:paraId="4BA7FE43" w14:textId="77777777" w:rsidR="00F2150C" w:rsidRPr="0016703E" w:rsidRDefault="00F2150C" w:rsidP="0016703E">
      <w:pPr>
        <w:spacing w:after="0" w:line="240" w:lineRule="auto"/>
        <w:jc w:val="both"/>
        <w:rPr>
          <w:rFonts w:ascii="Century Gothic" w:eastAsia="Arial" w:hAnsi="Century Gothic" w:cs="Arial"/>
          <w:sz w:val="24"/>
          <w:szCs w:val="24"/>
        </w:rPr>
      </w:pPr>
    </w:p>
    <w:p w14:paraId="06D22516" w14:textId="77777777" w:rsidR="00F2150C" w:rsidRPr="0016703E" w:rsidRDefault="00D84AD5" w:rsidP="0016703E">
      <w:pPr>
        <w:numPr>
          <w:ilvl w:val="0"/>
          <w:numId w:val="3"/>
        </w:numPr>
        <w:spacing w:after="0" w:line="240" w:lineRule="auto"/>
        <w:jc w:val="both"/>
        <w:rPr>
          <w:rFonts w:ascii="Century Gothic" w:eastAsia="Arial" w:hAnsi="Century Gothic" w:cs="Arial"/>
          <w:sz w:val="24"/>
          <w:szCs w:val="24"/>
        </w:rPr>
      </w:pPr>
      <w:r w:rsidRPr="0016703E">
        <w:rPr>
          <w:rFonts w:ascii="Century Gothic" w:eastAsia="Arial" w:hAnsi="Century Gothic" w:cs="Arial"/>
          <w:b/>
          <w:sz w:val="24"/>
          <w:szCs w:val="24"/>
        </w:rPr>
        <w:t>SII con estreñimiento:</w:t>
      </w:r>
      <w:r w:rsidRPr="0016703E">
        <w:rPr>
          <w:rFonts w:ascii="Century Gothic" w:eastAsia="Arial" w:hAnsi="Century Gothic" w:cs="Arial"/>
          <w:sz w:val="24"/>
          <w:szCs w:val="24"/>
        </w:rPr>
        <w:t xml:space="preserve"> sin respuesta al manejo dietario, se indicará</w:t>
      </w:r>
      <w:r w:rsidRPr="0016703E">
        <w:rPr>
          <w:rFonts w:ascii="Century Gothic" w:eastAsia="Arial" w:hAnsi="Century Gothic" w:cs="Arial"/>
          <w:sz w:val="24"/>
          <w:szCs w:val="24"/>
          <w:highlight w:val="white"/>
        </w:rPr>
        <w:t xml:space="preserve"> laxantes osmóticos (polietilenglicol) como primera línea de tratamiento seguidos de secretagogos (linaclotide, lubiprostone, plecanatide o tenapanor). En los episodios agudos de estreñimiento se indicará laxantes estimulantes (bisacodilo o picosulfato de sodio).</w:t>
      </w:r>
    </w:p>
    <w:p w14:paraId="46E5812D" w14:textId="77777777" w:rsidR="00F2150C" w:rsidRPr="0016703E" w:rsidRDefault="00D84AD5" w:rsidP="0016703E">
      <w:pPr>
        <w:spacing w:after="0" w:line="240" w:lineRule="auto"/>
        <w:ind w:left="720"/>
        <w:jc w:val="both"/>
        <w:rPr>
          <w:rFonts w:ascii="Century Gothic" w:eastAsia="Arial" w:hAnsi="Century Gothic" w:cs="Arial"/>
          <w:sz w:val="24"/>
          <w:szCs w:val="24"/>
          <w:highlight w:val="white"/>
        </w:rPr>
      </w:pPr>
      <w:r w:rsidRPr="0016703E">
        <w:rPr>
          <w:rFonts w:ascii="Century Gothic" w:eastAsia="Arial" w:hAnsi="Century Gothic" w:cs="Arial"/>
          <w:sz w:val="24"/>
          <w:szCs w:val="24"/>
        </w:rPr>
        <w:t xml:space="preserve">Este tipo de laxantes ha demostrado mejoría en la frecuencia de deposiciones, pero no en el dolor abdominal y la distensión. El </w:t>
      </w:r>
      <w:r w:rsidR="00497A99" w:rsidRPr="0016703E">
        <w:rPr>
          <w:rFonts w:ascii="Century Gothic" w:eastAsia="Arial" w:hAnsi="Century Gothic" w:cs="Arial"/>
          <w:sz w:val="24"/>
          <w:szCs w:val="24"/>
        </w:rPr>
        <w:t>polietilenglicol demostró</w:t>
      </w:r>
      <w:r w:rsidRPr="0016703E">
        <w:rPr>
          <w:rFonts w:ascii="Century Gothic" w:eastAsia="Arial" w:hAnsi="Century Gothic" w:cs="Arial"/>
          <w:sz w:val="24"/>
          <w:szCs w:val="24"/>
        </w:rPr>
        <w:t xml:space="preserve"> mejor efectividad frente a la lactulosa (34-37).</w:t>
      </w:r>
    </w:p>
    <w:p w14:paraId="6D99806C" w14:textId="77777777" w:rsidR="00F2150C" w:rsidRPr="0016703E" w:rsidRDefault="00F2150C" w:rsidP="0016703E">
      <w:pPr>
        <w:spacing w:after="0" w:line="240" w:lineRule="auto"/>
        <w:ind w:left="720"/>
        <w:jc w:val="both"/>
        <w:rPr>
          <w:rFonts w:ascii="Century Gothic" w:eastAsia="Arial" w:hAnsi="Century Gothic" w:cs="Arial"/>
          <w:sz w:val="24"/>
          <w:szCs w:val="24"/>
          <w:highlight w:val="white"/>
        </w:rPr>
      </w:pPr>
    </w:p>
    <w:p w14:paraId="521EC517" w14:textId="77777777" w:rsidR="003976DD" w:rsidRDefault="00D84AD5" w:rsidP="003976DD">
      <w:pPr>
        <w:numPr>
          <w:ilvl w:val="0"/>
          <w:numId w:val="3"/>
        </w:numPr>
        <w:spacing w:after="0" w:line="240" w:lineRule="auto"/>
        <w:jc w:val="both"/>
        <w:rPr>
          <w:rFonts w:ascii="Century Gothic" w:hAnsi="Century Gothic"/>
          <w:sz w:val="24"/>
          <w:szCs w:val="24"/>
        </w:rPr>
      </w:pPr>
      <w:r w:rsidRPr="0016703E">
        <w:rPr>
          <w:rFonts w:ascii="Century Gothic" w:eastAsia="Arial" w:hAnsi="Century Gothic" w:cs="Arial"/>
          <w:b/>
          <w:sz w:val="24"/>
          <w:szCs w:val="24"/>
        </w:rPr>
        <w:lastRenderedPageBreak/>
        <w:t xml:space="preserve">SII con diarrea: </w:t>
      </w:r>
      <w:r w:rsidRPr="0016703E">
        <w:rPr>
          <w:rFonts w:ascii="Century Gothic" w:eastAsia="Arial" w:hAnsi="Century Gothic" w:cs="Arial"/>
          <w:sz w:val="24"/>
          <w:szCs w:val="24"/>
        </w:rPr>
        <w:t>se indicará loperamida como primera línea de tratamiento seguido de</w:t>
      </w:r>
      <w:r w:rsidRPr="0016703E">
        <w:rPr>
          <w:rFonts w:ascii="Century Gothic" w:eastAsia="Arial" w:hAnsi="Century Gothic" w:cs="Arial"/>
          <w:sz w:val="24"/>
          <w:szCs w:val="24"/>
          <w:highlight w:val="white"/>
        </w:rPr>
        <w:t xml:space="preserve"> rifaximina, ondansetrón, alosetrón, ramosetrón o eluxadolina. </w:t>
      </w:r>
      <w:r w:rsidRPr="0016703E">
        <w:rPr>
          <w:rFonts w:ascii="Century Gothic" w:eastAsia="Arial" w:hAnsi="Century Gothic" w:cs="Arial"/>
          <w:b/>
          <w:i/>
          <w:sz w:val="24"/>
          <w:szCs w:val="24"/>
          <w:highlight w:val="white"/>
        </w:rPr>
        <w:t>No usar difenoxilato en el tratamiento del episodio agudo de diarrea y SII.</w:t>
      </w:r>
    </w:p>
    <w:p w14:paraId="2AE80B2A" w14:textId="351718CA" w:rsidR="00F2150C" w:rsidRPr="003976DD" w:rsidRDefault="00D84AD5" w:rsidP="003976DD">
      <w:pPr>
        <w:spacing w:after="0" w:line="240" w:lineRule="auto"/>
        <w:jc w:val="both"/>
        <w:rPr>
          <w:rFonts w:ascii="Century Gothic" w:hAnsi="Century Gothic"/>
          <w:sz w:val="24"/>
          <w:szCs w:val="24"/>
        </w:rPr>
      </w:pPr>
      <w:r w:rsidRPr="003976DD">
        <w:rPr>
          <w:rFonts w:ascii="Century Gothic" w:eastAsia="Arial" w:hAnsi="Century Gothic" w:cs="Arial"/>
          <w:sz w:val="24"/>
          <w:szCs w:val="24"/>
        </w:rPr>
        <w:t>La loperamida es efectiva en el tratamiento sintomático de la diarrea asociada al SII, aunque no para la mejoría global del mismo.</w:t>
      </w:r>
    </w:p>
    <w:p w14:paraId="230103F4" w14:textId="77777777" w:rsidR="00F2150C" w:rsidRPr="0016703E" w:rsidRDefault="00F2150C" w:rsidP="0016703E">
      <w:pPr>
        <w:spacing w:after="0" w:line="240" w:lineRule="auto"/>
        <w:ind w:left="720"/>
        <w:jc w:val="both"/>
        <w:rPr>
          <w:rFonts w:ascii="Century Gothic" w:eastAsia="Arial" w:hAnsi="Century Gothic" w:cs="Arial"/>
          <w:b/>
          <w:i/>
          <w:sz w:val="24"/>
          <w:szCs w:val="24"/>
          <w:highlight w:val="white"/>
        </w:rPr>
      </w:pPr>
    </w:p>
    <w:p w14:paraId="06A8BE3E" w14:textId="77777777" w:rsidR="003976DD" w:rsidRDefault="003976DD" w:rsidP="003976DD">
      <w:pPr>
        <w:spacing w:after="0" w:line="240" w:lineRule="auto"/>
        <w:jc w:val="both"/>
        <w:rPr>
          <w:rFonts w:ascii="Century Gothic" w:eastAsia="Arial" w:hAnsi="Century Gothic" w:cs="Arial"/>
          <w:b/>
          <w:sz w:val="24"/>
          <w:szCs w:val="24"/>
          <w:highlight w:val="white"/>
        </w:rPr>
      </w:pPr>
    </w:p>
    <w:p w14:paraId="79017C3B" w14:textId="73B8768C" w:rsidR="00F2150C" w:rsidRPr="0016703E" w:rsidRDefault="00D84AD5" w:rsidP="003976DD">
      <w:pPr>
        <w:spacing w:after="0" w:line="240" w:lineRule="auto"/>
        <w:jc w:val="both"/>
        <w:rPr>
          <w:rFonts w:ascii="Century Gothic" w:hAnsi="Century Gothic"/>
          <w:sz w:val="24"/>
          <w:szCs w:val="24"/>
        </w:rPr>
      </w:pPr>
      <w:r w:rsidRPr="0016703E">
        <w:rPr>
          <w:rFonts w:ascii="Century Gothic" w:eastAsia="Arial" w:hAnsi="Century Gothic" w:cs="Arial"/>
          <w:b/>
          <w:sz w:val="24"/>
          <w:szCs w:val="24"/>
          <w:highlight w:val="white"/>
        </w:rPr>
        <w:t>SII con dolor abdominal:</w:t>
      </w:r>
      <w:r w:rsidRPr="0016703E">
        <w:rPr>
          <w:rFonts w:ascii="Century Gothic" w:eastAsia="Arial" w:hAnsi="Century Gothic" w:cs="Arial"/>
          <w:sz w:val="24"/>
          <w:szCs w:val="24"/>
          <w:highlight w:val="white"/>
        </w:rPr>
        <w:t xml:space="preserve"> se indicará antiespasmódico como primera línea seguido de neuromoduladores (antidepresivos).</w:t>
      </w:r>
    </w:p>
    <w:p w14:paraId="4907E668" w14:textId="77777777" w:rsidR="00F2150C" w:rsidRPr="0016703E" w:rsidRDefault="00F2150C" w:rsidP="0016703E">
      <w:pPr>
        <w:spacing w:after="0" w:line="240" w:lineRule="auto"/>
        <w:ind w:left="720"/>
        <w:jc w:val="both"/>
        <w:rPr>
          <w:rFonts w:ascii="Century Gothic" w:eastAsia="Arial" w:hAnsi="Century Gothic" w:cs="Arial"/>
          <w:sz w:val="24"/>
          <w:szCs w:val="24"/>
        </w:rPr>
      </w:pPr>
    </w:p>
    <w:p w14:paraId="4F1F111A" w14:textId="77777777" w:rsidR="00F2150C" w:rsidRDefault="00D84AD5"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Los antiespasmódicos han sido útiles en la mejoría de síntomas como el dolor y la distensión abdominal, sin embargo, pueden provocar sequedad bucal y estreñimiento teniendo presente que la presencia de estos es baja (38).</w:t>
      </w:r>
    </w:p>
    <w:p w14:paraId="06E78417" w14:textId="77777777" w:rsidR="003976DD" w:rsidRPr="0016703E" w:rsidRDefault="003976DD" w:rsidP="0016703E">
      <w:pPr>
        <w:spacing w:after="0" w:line="240" w:lineRule="auto"/>
        <w:jc w:val="both"/>
        <w:rPr>
          <w:rFonts w:ascii="Century Gothic" w:eastAsia="Arial" w:hAnsi="Century Gothic" w:cs="Arial"/>
          <w:sz w:val="24"/>
          <w:szCs w:val="24"/>
          <w:highlight w:val="white"/>
        </w:rPr>
      </w:pPr>
    </w:p>
    <w:p w14:paraId="75DFECCE" w14:textId="77777777" w:rsidR="00F2150C" w:rsidRDefault="00D84AD5" w:rsidP="0016703E">
      <w:pPr>
        <w:spacing w:after="0" w:line="240" w:lineRule="auto"/>
        <w:jc w:val="both"/>
        <w:rPr>
          <w:rFonts w:ascii="Century Gothic" w:eastAsia="Arial" w:hAnsi="Century Gothic" w:cs="Arial"/>
          <w:b/>
          <w:sz w:val="24"/>
          <w:szCs w:val="24"/>
        </w:rPr>
      </w:pPr>
      <w:r w:rsidRPr="0016703E">
        <w:rPr>
          <w:rFonts w:ascii="Century Gothic" w:eastAsia="Arial" w:hAnsi="Century Gothic" w:cs="Arial"/>
          <w:b/>
          <w:i/>
          <w:sz w:val="24"/>
          <w:szCs w:val="24"/>
          <w:highlight w:val="white"/>
        </w:rPr>
        <w:t xml:space="preserve">En pacientes con síndrome de intestino irritable con estreñimiento, se deben evitar los antidepresivos tricíclicos, porque pueden empeorarlo; en pacientes con síndrome de intestino irritable con diarrea, se deben evitar los antidepresivos inhibidores selectivos de la recaptación de la serotonina, porque pueden empeorar este síntoma </w:t>
      </w:r>
      <w:r w:rsidRPr="0016703E">
        <w:rPr>
          <w:rFonts w:ascii="Century Gothic" w:eastAsia="Arial" w:hAnsi="Century Gothic" w:cs="Arial"/>
          <w:b/>
          <w:i/>
          <w:sz w:val="24"/>
          <w:szCs w:val="24"/>
        </w:rPr>
        <w:t>(39)</w:t>
      </w:r>
      <w:r w:rsidRPr="0016703E">
        <w:rPr>
          <w:rFonts w:ascii="Century Gothic" w:eastAsia="Arial" w:hAnsi="Century Gothic" w:cs="Arial"/>
          <w:b/>
          <w:sz w:val="24"/>
          <w:szCs w:val="24"/>
        </w:rPr>
        <w:t>.</w:t>
      </w:r>
    </w:p>
    <w:p w14:paraId="2BAE6770" w14:textId="77777777" w:rsidR="003976DD" w:rsidRPr="0016703E" w:rsidRDefault="003976DD" w:rsidP="0016703E">
      <w:pPr>
        <w:spacing w:after="0" w:line="240" w:lineRule="auto"/>
        <w:jc w:val="both"/>
        <w:rPr>
          <w:rFonts w:ascii="Century Gothic" w:eastAsia="Arial" w:hAnsi="Century Gothic" w:cs="Arial"/>
          <w:b/>
          <w:i/>
          <w:sz w:val="24"/>
          <w:szCs w:val="24"/>
          <w:highlight w:val="white"/>
        </w:rPr>
      </w:pPr>
    </w:p>
    <w:p w14:paraId="2A8C9D4A" w14:textId="77777777" w:rsidR="00F2150C" w:rsidRDefault="00D84AD5" w:rsidP="0016703E">
      <w:pPr>
        <w:numPr>
          <w:ilvl w:val="0"/>
          <w:numId w:val="11"/>
        </w:numPr>
        <w:spacing w:after="0" w:line="240" w:lineRule="auto"/>
        <w:jc w:val="both"/>
        <w:rPr>
          <w:rFonts w:ascii="Century Gothic" w:eastAsia="Arial" w:hAnsi="Century Gothic" w:cs="Arial"/>
          <w:sz w:val="24"/>
          <w:szCs w:val="24"/>
          <w:highlight w:val="white"/>
        </w:rPr>
      </w:pPr>
      <w:r w:rsidRPr="0016703E">
        <w:rPr>
          <w:rFonts w:ascii="Century Gothic" w:eastAsia="Arial" w:hAnsi="Century Gothic" w:cs="Arial"/>
          <w:b/>
          <w:sz w:val="24"/>
          <w:szCs w:val="24"/>
          <w:highlight w:val="white"/>
        </w:rPr>
        <w:t>SII con síntomas globales:</w:t>
      </w:r>
      <w:r w:rsidRPr="0016703E">
        <w:rPr>
          <w:rFonts w:ascii="Century Gothic" w:eastAsia="Arial" w:hAnsi="Century Gothic" w:cs="Arial"/>
          <w:sz w:val="24"/>
          <w:szCs w:val="24"/>
          <w:highlight w:val="white"/>
        </w:rPr>
        <w:t xml:space="preserve"> uso de antagonistas de receptores de 5-hidroxitriptamina (5-HT 3), antiespasmódicos, neuromoduladores (antidepresivos), rifaximina, </w:t>
      </w:r>
      <w:r w:rsidR="00497A99" w:rsidRPr="0016703E">
        <w:rPr>
          <w:rFonts w:ascii="Century Gothic" w:eastAsia="Arial" w:hAnsi="Century Gothic" w:cs="Arial"/>
          <w:sz w:val="24"/>
          <w:szCs w:val="24"/>
          <w:highlight w:val="white"/>
        </w:rPr>
        <w:t>agonistas receptores</w:t>
      </w:r>
      <w:r w:rsidRPr="0016703E">
        <w:rPr>
          <w:rFonts w:ascii="Century Gothic" w:eastAsia="Arial" w:hAnsi="Century Gothic" w:cs="Arial"/>
          <w:sz w:val="24"/>
          <w:szCs w:val="24"/>
          <w:highlight w:val="white"/>
        </w:rPr>
        <w:t xml:space="preserve"> 5HT4, agonistas-antagonistas opiáceos y secretagogos para el tratamiento de pacientes con diagnóstico de síndrome de intestino irritable (según manifestación predominante).</w:t>
      </w:r>
    </w:p>
    <w:p w14:paraId="41F08575" w14:textId="77777777" w:rsidR="003976DD" w:rsidRPr="0016703E" w:rsidRDefault="003976DD" w:rsidP="003976DD">
      <w:pPr>
        <w:spacing w:after="0" w:line="240" w:lineRule="auto"/>
        <w:ind w:left="720"/>
        <w:jc w:val="both"/>
        <w:rPr>
          <w:rFonts w:ascii="Century Gothic" w:eastAsia="Arial" w:hAnsi="Century Gothic" w:cs="Arial"/>
          <w:sz w:val="24"/>
          <w:szCs w:val="24"/>
          <w:highlight w:val="white"/>
        </w:rPr>
      </w:pPr>
    </w:p>
    <w:p w14:paraId="6F7ADC7F" w14:textId="77777777" w:rsidR="00F2150C" w:rsidRPr="0016703E" w:rsidRDefault="00D84AD5"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La pucaloprida es un agonista del receptor 5-HT4 a nivel intestinal, encargado de estimular la motilidad intestinal, el peristaltismo y tránsito intestinal, este medicamento en los diferentes estudios ha demostrado mejoría en el estreñimiento, dolor, distensión abdominal y calidad de vida (40).</w:t>
      </w:r>
    </w:p>
    <w:p w14:paraId="5769F251" w14:textId="77777777" w:rsidR="00F2150C" w:rsidRPr="0016703E" w:rsidRDefault="00F2150C" w:rsidP="0016703E">
      <w:pPr>
        <w:spacing w:after="0" w:line="240" w:lineRule="auto"/>
        <w:jc w:val="both"/>
        <w:rPr>
          <w:rFonts w:ascii="Century Gothic" w:eastAsia="Arial" w:hAnsi="Century Gothic" w:cs="Arial"/>
          <w:sz w:val="24"/>
          <w:szCs w:val="24"/>
        </w:rPr>
      </w:pPr>
    </w:p>
    <w:p w14:paraId="4A8D13C3" w14:textId="0E9E001F" w:rsidR="00F2150C" w:rsidRPr="0016703E" w:rsidRDefault="00D84AD5" w:rsidP="0016703E">
      <w:pPr>
        <w:pBdr>
          <w:top w:val="nil"/>
          <w:left w:val="nil"/>
          <w:bottom w:val="nil"/>
          <w:right w:val="nil"/>
          <w:between w:val="nil"/>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 xml:space="preserve">En conclusión, se observa como existe una lista de recomendaciones farmacológicas y no farmacológicas para el manejo del SII. En donde </w:t>
      </w:r>
      <w:r w:rsidRPr="0016703E">
        <w:rPr>
          <w:rFonts w:ascii="Century Gothic" w:eastAsia="Arial" w:hAnsi="Century Gothic" w:cs="Arial"/>
          <w:color w:val="000000"/>
          <w:sz w:val="24"/>
          <w:szCs w:val="24"/>
        </w:rPr>
        <w:t>la adherencia y cumplimiento del tratamiento es un factor indispensable para el éxito y la mejoría de los síntomas</w:t>
      </w:r>
      <w:r w:rsidRPr="0016703E">
        <w:rPr>
          <w:rFonts w:ascii="Century Gothic" w:eastAsia="Arial" w:hAnsi="Century Gothic" w:cs="Arial"/>
          <w:sz w:val="24"/>
          <w:szCs w:val="24"/>
        </w:rPr>
        <w:t>.</w:t>
      </w:r>
    </w:p>
    <w:p w14:paraId="213BFF13" w14:textId="77777777" w:rsidR="00497A99" w:rsidRPr="0016703E" w:rsidRDefault="00497A99" w:rsidP="0016703E">
      <w:pPr>
        <w:pBdr>
          <w:top w:val="nil"/>
          <w:left w:val="nil"/>
          <w:bottom w:val="nil"/>
          <w:right w:val="nil"/>
          <w:between w:val="nil"/>
        </w:pBdr>
        <w:spacing w:after="0" w:line="240" w:lineRule="auto"/>
        <w:jc w:val="both"/>
        <w:rPr>
          <w:rFonts w:ascii="Century Gothic" w:eastAsia="Arial" w:hAnsi="Century Gothic" w:cs="Arial"/>
          <w:sz w:val="24"/>
          <w:szCs w:val="24"/>
        </w:rPr>
      </w:pPr>
    </w:p>
    <w:p w14:paraId="553A9616" w14:textId="77777777" w:rsidR="00620A4E" w:rsidRPr="0016703E" w:rsidRDefault="00620A4E" w:rsidP="0016703E">
      <w:pPr>
        <w:pBdr>
          <w:top w:val="nil"/>
          <w:left w:val="nil"/>
          <w:bottom w:val="nil"/>
          <w:right w:val="nil"/>
          <w:between w:val="nil"/>
        </w:pBdr>
        <w:spacing w:after="0" w:line="240" w:lineRule="auto"/>
        <w:jc w:val="both"/>
        <w:rPr>
          <w:rFonts w:ascii="Century Gothic" w:eastAsia="Arial" w:hAnsi="Century Gothic" w:cs="Arial"/>
          <w:sz w:val="24"/>
          <w:szCs w:val="24"/>
        </w:rPr>
      </w:pPr>
    </w:p>
    <w:bookmarkStart w:id="3" w:name="_heading=h.1t3h5sf" w:colFirst="0" w:colLast="0"/>
    <w:bookmarkEnd w:id="3"/>
    <w:p w14:paraId="1014190B" w14:textId="4C7620AB" w:rsidR="00497A99" w:rsidRPr="0016703E" w:rsidRDefault="000505ED" w:rsidP="0016703E">
      <w:pPr>
        <w:spacing w:after="0" w:line="240" w:lineRule="auto"/>
        <w:rPr>
          <w:rFonts w:ascii="Century Gothic" w:eastAsia="Arial" w:hAnsi="Century Gothic" w:cs="Arial"/>
          <w:sz w:val="24"/>
          <w:szCs w:val="24"/>
        </w:rPr>
      </w:pPr>
      <w:r w:rsidRPr="0016703E">
        <w:rPr>
          <w:rFonts w:ascii="Century Gothic" w:hAnsi="Century Gothic"/>
          <w:noProof/>
          <w:sz w:val="24"/>
          <w:szCs w:val="24"/>
        </w:rPr>
        <mc:AlternateContent>
          <mc:Choice Requires="wps">
            <w:drawing>
              <wp:anchor distT="0" distB="0" distL="114300" distR="114300" simplePos="0" relativeHeight="251659264" behindDoc="0" locked="0" layoutInCell="1" hidden="0" allowOverlap="1" wp14:anchorId="36AD8D94" wp14:editId="78BBA150">
                <wp:simplePos x="0" y="0"/>
                <wp:positionH relativeFrom="margin">
                  <wp:posOffset>1739265</wp:posOffset>
                </wp:positionH>
                <wp:positionV relativeFrom="paragraph">
                  <wp:posOffset>-57150</wp:posOffset>
                </wp:positionV>
                <wp:extent cx="2257425" cy="838200"/>
                <wp:effectExtent l="0" t="0" r="28575" b="19050"/>
                <wp:wrapNone/>
                <wp:docPr id="1709465720" name="Rectángulo 1709465720"/>
                <wp:cNvGraphicFramePr/>
                <a:graphic xmlns:a="http://schemas.openxmlformats.org/drawingml/2006/main">
                  <a:graphicData uri="http://schemas.microsoft.com/office/word/2010/wordprocessingShape">
                    <wps:wsp>
                      <wps:cNvSpPr/>
                      <wps:spPr>
                        <a:xfrm>
                          <a:off x="0" y="0"/>
                          <a:ext cx="2257425" cy="838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05F533" w14:textId="77777777" w:rsidR="00F2150C" w:rsidRDefault="00D84AD5" w:rsidP="00107CAF">
                            <w:pPr>
                              <w:spacing w:line="275" w:lineRule="auto"/>
                              <w:jc w:val="center"/>
                              <w:textDirection w:val="btLr"/>
                            </w:pPr>
                            <w:r>
                              <w:rPr>
                                <w:color w:val="000000"/>
                              </w:rPr>
                              <w:t>Paciente con cuadro de dolor abdominal al menos tres días por mes en los últimos tres meses y cumple criterios de Roma IV</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36AD8D94" id="Rectángulo 1709465720" o:spid="_x0000_s1026" style="position:absolute;margin-left:136.95pt;margin-top:-4.5pt;width:177.75pt;height:6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">
                <v:stroke startarrowwidth="narrow" startarrowlength="short" endarrowwidth="narrow" endarrowlength="short"/>
                <v:textbox inset="2.53958mm,1.2694mm,2.53958mm,1.2694mm">
                  <w:txbxContent>
                    <w:p w14:paraId="2C05F533" w14:textId="77777777" w:rsidR="00F2150C" w:rsidRDefault="00D84AD5" w:rsidP="00107CAF">
                      <w:pPr>
                        <w:spacing w:line="275" w:lineRule="auto"/>
                        <w:jc w:val="center"/>
                        <w:textDirection w:val="btLr"/>
                      </w:pPr>
                      <w:r>
                        <w:rPr>
                          <w:color w:val="000000"/>
                        </w:rPr>
                        <w:t>Paciente con cuadro de dolor abdominal al menos tres días por mes en los últimos tres meses y cumple criterios de Roma IV</w:t>
                      </w:r>
                    </w:p>
                  </w:txbxContent>
                </v:textbox>
                <w10:wrap anchorx="margin"/>
              </v:rect>
            </w:pict>
          </mc:Fallback>
        </mc:AlternateContent>
      </w:r>
    </w:p>
    <w:bookmarkStart w:id="4" w:name="_heading=h.4d34og8" w:colFirst="0" w:colLast="0" w:displacedByCustomXml="next"/>
    <w:bookmarkEnd w:id="4" w:displacedByCustomXml="next"/>
    <w:sdt>
      <w:sdtPr>
        <w:rPr>
          <w:rFonts w:ascii="Century Gothic" w:eastAsia="Arial" w:hAnsi="Century Gothic" w:cs="Arial"/>
          <w:b w:val="0"/>
          <w:bCs w:val="0"/>
          <w:kern w:val="0"/>
          <w:sz w:val="24"/>
          <w:szCs w:val="24"/>
        </w:rPr>
        <w:id w:val="105550912"/>
        <w:lock w:val="contentLocked"/>
        <w:placeholder>
          <w:docPart w:val="DefaultPlaceholder_-1854013440"/>
        </w:placeholder>
        <w:group/>
      </w:sdtPr>
      <w:sdtEndPr/>
      <w:sdtContent>
        <w:p w14:paraId="6E1172E4" w14:textId="74D75002" w:rsidR="00F2150C" w:rsidRPr="0016703E" w:rsidRDefault="00D84AD5" w:rsidP="0016703E">
          <w:pPr>
            <w:pStyle w:val="Ttulo1"/>
            <w:spacing w:before="0" w:beforeAutospacing="0" w:after="0" w:afterAutospacing="0"/>
            <w:rPr>
              <w:rFonts w:ascii="Century Gothic" w:eastAsia="Arial" w:hAnsi="Century Gothic" w:cs="Arial"/>
              <w:b w:val="0"/>
              <w:sz w:val="24"/>
              <w:szCs w:val="24"/>
            </w:rPr>
          </w:pPr>
          <w:r w:rsidRPr="0016703E">
            <w:rPr>
              <w:rFonts w:ascii="Century Gothic" w:eastAsia="Arial" w:hAnsi="Century Gothic" w:cs="Arial"/>
              <w:sz w:val="24"/>
              <w:szCs w:val="24"/>
            </w:rPr>
            <w:t>FLUJOGRAMA</w:t>
          </w:r>
        </w:p>
        <w:p w14:paraId="2E718200" w14:textId="77777777" w:rsidR="00F2150C" w:rsidRPr="0016703E" w:rsidRDefault="00D84AD5" w:rsidP="0016703E">
          <w:p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ab/>
          </w:r>
        </w:p>
        <w:p w14:paraId="53950680" w14:textId="596EFC14" w:rsidR="00F2150C" w:rsidRPr="0016703E" w:rsidRDefault="00F2150C" w:rsidP="0016703E">
          <w:pPr>
            <w:spacing w:after="0" w:line="240" w:lineRule="auto"/>
            <w:jc w:val="both"/>
            <w:rPr>
              <w:rFonts w:ascii="Century Gothic" w:eastAsia="Arial" w:hAnsi="Century Gothic" w:cs="Arial"/>
              <w:sz w:val="24"/>
              <w:szCs w:val="24"/>
            </w:rPr>
          </w:pPr>
        </w:p>
        <w:p w14:paraId="172747CD" w14:textId="29FA1717" w:rsidR="00F2150C" w:rsidRPr="0016703E" w:rsidRDefault="000505ED" w:rsidP="0016703E">
          <w:pPr>
            <w:spacing w:after="0" w:line="240" w:lineRule="auto"/>
            <w:jc w:val="both"/>
            <w:rPr>
              <w:rFonts w:ascii="Century Gothic" w:eastAsia="Arial" w:hAnsi="Century Gothic" w:cs="Arial"/>
              <w:sz w:val="24"/>
              <w:szCs w:val="24"/>
            </w:rPr>
          </w:pPr>
          <w:r w:rsidRPr="0016703E">
            <w:rPr>
              <w:rFonts w:ascii="Century Gothic" w:hAnsi="Century Gothic"/>
              <w:noProof/>
              <w:sz w:val="24"/>
              <w:szCs w:val="24"/>
            </w:rPr>
            <mc:AlternateContent>
              <mc:Choice Requires="wps">
                <w:drawing>
                  <wp:anchor distT="0" distB="0" distL="114300" distR="114300" simplePos="0" relativeHeight="251660288" behindDoc="0" locked="0" layoutInCell="1" hidden="0" allowOverlap="1" wp14:anchorId="4D87E613" wp14:editId="1CD2B883">
                    <wp:simplePos x="0" y="0"/>
                    <wp:positionH relativeFrom="column">
                      <wp:posOffset>2129789</wp:posOffset>
                    </wp:positionH>
                    <wp:positionV relativeFrom="paragraph">
                      <wp:posOffset>5080</wp:posOffset>
                    </wp:positionV>
                    <wp:extent cx="638175" cy="180975"/>
                    <wp:effectExtent l="38100" t="0" r="28575" b="66675"/>
                    <wp:wrapNone/>
                    <wp:docPr id="1709465732" name="Conector recto de flecha 1709465732"/>
                    <wp:cNvGraphicFramePr/>
                    <a:graphic xmlns:a="http://schemas.openxmlformats.org/drawingml/2006/main">
                      <a:graphicData uri="http://schemas.microsoft.com/office/word/2010/wordprocessingShape">
                        <wps:wsp>
                          <wps:cNvCnPr/>
                          <wps:spPr>
                            <a:xfrm flipH="1">
                              <a:off x="0" y="0"/>
                              <a:ext cx="638175" cy="180975"/>
                            </a:xfrm>
                            <a:prstGeom prst="straightConnector1">
                              <a:avLst/>
                            </a:prstGeom>
                            <a:noFill/>
                            <a:ln w="9525" cap="flat" cmpd="sng">
                              <a:solidFill>
                                <a:srgbClr val="4A7DBA"/>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2C0B7131" id="_x0000_t32" coordsize="21600,21600" o:spt="32" o:oned="t" path="m,l21600,21600e" filled="f">
                    <v:path arrowok="t" fillok="f" o:connecttype="none"/>
                    <o:lock v:ext="edit" shapetype="t"/>
                  </v:shapetype>
                  <v:shape id="Conector recto de flecha 1709465732" o:spid="_x0000_s1026" type="#_x0000_t32" style="position:absolute;margin-left:167.7pt;margin-top:.4pt;width:50.25pt;height:14.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" strokecolor="#4a7dba">
                    <v:stroke startarrowwidth="narrow" startarrowlength="short" endarrow="classic"/>
                  </v:shape>
                </w:pict>
              </mc:Fallback>
            </mc:AlternateContent>
          </w:r>
          <w:r w:rsidRPr="0016703E">
            <w:rPr>
              <w:rFonts w:ascii="Century Gothic" w:hAnsi="Century Gothic"/>
              <w:noProof/>
              <w:sz w:val="24"/>
              <w:szCs w:val="24"/>
            </w:rPr>
            <mc:AlternateContent>
              <mc:Choice Requires="wps">
                <w:drawing>
                  <wp:anchor distT="0" distB="0" distL="114300" distR="114300" simplePos="0" relativeHeight="251661312" behindDoc="0" locked="0" layoutInCell="1" hidden="0" allowOverlap="1" wp14:anchorId="6B589695" wp14:editId="2A34FAC1">
                    <wp:simplePos x="0" y="0"/>
                    <wp:positionH relativeFrom="column">
                      <wp:posOffset>2720340</wp:posOffset>
                    </wp:positionH>
                    <wp:positionV relativeFrom="paragraph">
                      <wp:posOffset>5080</wp:posOffset>
                    </wp:positionV>
                    <wp:extent cx="685800" cy="190500"/>
                    <wp:effectExtent l="0" t="0" r="76200" b="76200"/>
                    <wp:wrapNone/>
                    <wp:docPr id="1709465726" name="Conector recto de flecha 1709465726"/>
                    <wp:cNvGraphicFramePr/>
                    <a:graphic xmlns:a="http://schemas.openxmlformats.org/drawingml/2006/main">
                      <a:graphicData uri="http://schemas.microsoft.com/office/word/2010/wordprocessingShape">
                        <wps:wsp>
                          <wps:cNvCnPr/>
                          <wps:spPr>
                            <a:xfrm>
                              <a:off x="0" y="0"/>
                              <a:ext cx="685800" cy="190500"/>
                            </a:xfrm>
                            <a:prstGeom prst="straightConnector1">
                              <a:avLst/>
                            </a:prstGeom>
                            <a:noFill/>
                            <a:ln w="9525" cap="flat" cmpd="sng">
                              <a:solidFill>
                                <a:srgbClr val="4A7DBA"/>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1F63AFB1" id="Conector recto de flecha 1709465726" o:spid="_x0000_s1026" type="#_x0000_t32" style="position:absolute;margin-left:214.2pt;margin-top:.4pt;width:54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" strokecolor="#4a7dba">
                    <v:stroke startarrowwidth="narrow" startarrowlength="short" endarrow="classic"/>
                  </v:shape>
                </w:pict>
              </mc:Fallback>
            </mc:AlternateContent>
          </w:r>
        </w:p>
        <w:p w14:paraId="58FA3B25" w14:textId="77E9C103" w:rsidR="00F2150C" w:rsidRPr="0016703E" w:rsidRDefault="000505ED" w:rsidP="0016703E">
          <w:pPr>
            <w:spacing w:after="0" w:line="240" w:lineRule="auto"/>
            <w:rPr>
              <w:rFonts w:ascii="Century Gothic" w:eastAsia="Arial" w:hAnsi="Century Gothic" w:cs="Arial"/>
              <w:b/>
              <w:sz w:val="24"/>
              <w:szCs w:val="24"/>
            </w:rPr>
          </w:pPr>
          <w:r w:rsidRPr="0016703E">
            <w:rPr>
              <w:rFonts w:ascii="Century Gothic" w:hAnsi="Century Gothic"/>
              <w:noProof/>
              <w:sz w:val="24"/>
              <w:szCs w:val="24"/>
            </w:rPr>
            <mc:AlternateContent>
              <mc:Choice Requires="wps">
                <w:drawing>
                  <wp:anchor distT="0" distB="0" distL="114300" distR="114300" simplePos="0" relativeHeight="251663360" behindDoc="0" locked="0" layoutInCell="1" hidden="0" allowOverlap="1" wp14:anchorId="5664A2AA" wp14:editId="425F7EE9">
                    <wp:simplePos x="0" y="0"/>
                    <wp:positionH relativeFrom="margin">
                      <wp:posOffset>3383280</wp:posOffset>
                    </wp:positionH>
                    <wp:positionV relativeFrom="paragraph">
                      <wp:posOffset>8890</wp:posOffset>
                    </wp:positionV>
                    <wp:extent cx="1828800" cy="266700"/>
                    <wp:effectExtent l="0" t="0" r="19050" b="19050"/>
                    <wp:wrapNone/>
                    <wp:docPr id="1709465716" name="Rectángulo 1709465716"/>
                    <wp:cNvGraphicFramePr/>
                    <a:graphic xmlns:a="http://schemas.openxmlformats.org/drawingml/2006/main">
                      <a:graphicData uri="http://schemas.microsoft.com/office/word/2010/wordprocessingShape">
                        <wps:wsp>
                          <wps:cNvSpPr/>
                          <wps:spPr>
                            <a:xfrm>
                              <a:off x="0" y="0"/>
                              <a:ext cx="1828800"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A7667B" w14:textId="77777777" w:rsidR="00F2150C" w:rsidRDefault="00D84AD5" w:rsidP="00497A99">
                                <w:pPr>
                                  <w:spacing w:line="275" w:lineRule="auto"/>
                                  <w:jc w:val="center"/>
                                  <w:textDirection w:val="btLr"/>
                                </w:pPr>
                                <w:r>
                                  <w:rPr>
                                    <w:color w:val="000000"/>
                                  </w:rPr>
                                  <w:t>Paciente con estreñimiento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5664A2AA" id="Rectángulo 1709465716" o:spid="_x0000_s1027" style="position:absolute;margin-left:266.4pt;margin-top:.7pt;width:2in;height:2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">
                    <v:stroke startarrowwidth="narrow" startarrowlength="short" endarrowwidth="narrow" endarrowlength="short"/>
                    <v:textbox inset="2.53958mm,1.2694mm,2.53958mm,1.2694mm">
                      <w:txbxContent>
                        <w:p w14:paraId="39A7667B" w14:textId="77777777" w:rsidR="00F2150C" w:rsidRDefault="00D84AD5" w:rsidP="00497A99">
                          <w:pPr>
                            <w:spacing w:line="275" w:lineRule="auto"/>
                            <w:jc w:val="center"/>
                            <w:textDirection w:val="btLr"/>
                          </w:pPr>
                          <w:r>
                            <w:rPr>
                              <w:color w:val="000000"/>
                            </w:rPr>
                            <w:t>Paciente con estreñimiento</w:t>
                          </w:r>
                        </w:p>
                      </w:txbxContent>
                    </v:textbox>
                    <w10:wrap anchorx="margin"/>
                  </v:rect>
                </w:pict>
              </mc:Fallback>
            </mc:AlternateContent>
          </w:r>
          <w:r w:rsidRPr="0016703E">
            <w:rPr>
              <w:rFonts w:ascii="Century Gothic" w:hAnsi="Century Gothic"/>
              <w:noProof/>
              <w:sz w:val="24"/>
              <w:szCs w:val="24"/>
            </w:rPr>
            <mc:AlternateContent>
              <mc:Choice Requires="wps">
                <w:drawing>
                  <wp:anchor distT="0" distB="0" distL="114300" distR="114300" simplePos="0" relativeHeight="251662336" behindDoc="0" locked="0" layoutInCell="1" hidden="0" allowOverlap="1" wp14:anchorId="14C19411" wp14:editId="6D0A2CB6">
                    <wp:simplePos x="0" y="0"/>
                    <wp:positionH relativeFrom="margin">
                      <wp:posOffset>24130</wp:posOffset>
                    </wp:positionH>
                    <wp:positionV relativeFrom="paragraph">
                      <wp:posOffset>8890</wp:posOffset>
                    </wp:positionV>
                    <wp:extent cx="2543175" cy="266700"/>
                    <wp:effectExtent l="0" t="0" r="28575" b="19050"/>
                    <wp:wrapNone/>
                    <wp:docPr id="1709465731" name="Rectángulo 1709465731"/>
                    <wp:cNvGraphicFramePr/>
                    <a:graphic xmlns:a="http://schemas.openxmlformats.org/drawingml/2006/main">
                      <a:graphicData uri="http://schemas.microsoft.com/office/word/2010/wordprocessingShape">
                        <wps:wsp>
                          <wps:cNvSpPr/>
                          <wps:spPr>
                            <a:xfrm>
                              <a:off x="0" y="0"/>
                              <a:ext cx="2543175"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2BB4B9" w14:textId="77777777" w:rsidR="00F2150C" w:rsidRDefault="00497A99" w:rsidP="00497A99">
                                <w:pPr>
                                  <w:spacing w:line="275" w:lineRule="auto"/>
                                  <w:jc w:val="center"/>
                                  <w:textDirection w:val="btLr"/>
                                </w:pPr>
                                <w:r>
                                  <w:rPr>
                                    <w:color w:val="000000"/>
                                  </w:rPr>
                                  <w:t>Paciente tiene deposiciones diarreicas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14C19411" id="Rectángulo 1709465731" o:spid="_x0000_s1028" style="position:absolute;margin-left:1.9pt;margin-top:.7pt;width:200.25pt;height: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">
                    <v:stroke startarrowwidth="narrow" startarrowlength="short" endarrowwidth="narrow" endarrowlength="short"/>
                    <v:textbox inset="2.53958mm,1.2694mm,2.53958mm,1.2694mm">
                      <w:txbxContent>
                        <w:p w14:paraId="3A2BB4B9" w14:textId="77777777" w:rsidR="00F2150C" w:rsidRDefault="00497A99" w:rsidP="00497A99">
                          <w:pPr>
                            <w:spacing w:line="275" w:lineRule="auto"/>
                            <w:jc w:val="center"/>
                            <w:textDirection w:val="btLr"/>
                          </w:pPr>
                          <w:r>
                            <w:rPr>
                              <w:color w:val="000000"/>
                            </w:rPr>
                            <w:t>Paciente tiene deposiciones diarreicas</w:t>
                          </w:r>
                        </w:p>
                      </w:txbxContent>
                    </v:textbox>
                    <w10:wrap anchorx="margin"/>
                  </v:rect>
                </w:pict>
              </mc:Fallback>
            </mc:AlternateContent>
          </w:r>
        </w:p>
        <w:p w14:paraId="12BBD2B6" w14:textId="01E2191A" w:rsidR="00F2150C" w:rsidRPr="0016703E" w:rsidRDefault="000505ED" w:rsidP="0016703E">
          <w:pPr>
            <w:spacing w:after="0" w:line="240" w:lineRule="auto"/>
            <w:rPr>
              <w:rFonts w:ascii="Century Gothic" w:eastAsia="Arial" w:hAnsi="Century Gothic" w:cs="Arial"/>
              <w:b/>
              <w:sz w:val="24"/>
              <w:szCs w:val="24"/>
            </w:rPr>
          </w:pPr>
          <w:r>
            <w:rPr>
              <w:rFonts w:ascii="Century Gothic" w:eastAsia="Arial" w:hAnsi="Century Gothic" w:cs="Arial"/>
              <w:b/>
              <w:noProof/>
              <w:sz w:val="24"/>
              <w:szCs w:val="24"/>
            </w:rPr>
            <mc:AlternateContent>
              <mc:Choice Requires="wps">
                <w:drawing>
                  <wp:anchor distT="0" distB="0" distL="114300" distR="114300" simplePos="0" relativeHeight="251692032" behindDoc="0" locked="0" layoutInCell="1" allowOverlap="1" wp14:anchorId="595A42D0" wp14:editId="36D05BF7">
                    <wp:simplePos x="0" y="0"/>
                    <wp:positionH relativeFrom="column">
                      <wp:posOffset>4267200</wp:posOffset>
                    </wp:positionH>
                    <wp:positionV relativeFrom="paragraph">
                      <wp:posOffset>68580</wp:posOffset>
                    </wp:positionV>
                    <wp:extent cx="9525" cy="238125"/>
                    <wp:effectExtent l="38100" t="0" r="66675" b="47625"/>
                    <wp:wrapNone/>
                    <wp:docPr id="1026566166" name="Conector recto de flecha 1"/>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shape w14:anchorId="4D574538" id="Conector recto de flecha 1" o:spid="_x0000_s1026" type="#_x0000_t32" style="position:absolute;margin-left:336pt;margin-top:5.4pt;width:.75pt;height:18.7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" strokecolor="#4579b8 [3044]">
                    <v:stroke endarrow="block"/>
                  </v:shape>
                </w:pict>
              </mc:Fallback>
            </mc:AlternateContent>
          </w:r>
          <w:r>
            <w:rPr>
              <w:rFonts w:ascii="Century Gothic" w:eastAsia="Arial" w:hAnsi="Century Gothic" w:cs="Arial"/>
              <w:b/>
              <w:noProof/>
              <w:sz w:val="24"/>
              <w:szCs w:val="24"/>
            </w:rPr>
            <mc:AlternateContent>
              <mc:Choice Requires="wps">
                <w:drawing>
                  <wp:anchor distT="0" distB="0" distL="114300" distR="114300" simplePos="0" relativeHeight="251689984" behindDoc="0" locked="0" layoutInCell="1" allowOverlap="1" wp14:anchorId="653BE427" wp14:editId="70423776">
                    <wp:simplePos x="0" y="0"/>
                    <wp:positionH relativeFrom="column">
                      <wp:posOffset>1148715</wp:posOffset>
                    </wp:positionH>
                    <wp:positionV relativeFrom="paragraph">
                      <wp:posOffset>98425</wp:posOffset>
                    </wp:positionV>
                    <wp:extent cx="9525" cy="238125"/>
                    <wp:effectExtent l="38100" t="0" r="66675" b="47625"/>
                    <wp:wrapNone/>
                    <wp:docPr id="1091897935" name="Conector recto de flecha 1"/>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shape w14:anchorId="11E5A173" id="Conector recto de flecha 1" o:spid="_x0000_s1026" type="#_x0000_t32" style="position:absolute;margin-left:90.45pt;margin-top:7.75pt;width:.75pt;height:18.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" strokecolor="#4579b8 [3044]">
                    <v:stroke endarrow="block"/>
                  </v:shape>
                </w:pict>
              </mc:Fallback>
            </mc:AlternateContent>
          </w:r>
        </w:p>
        <w:p w14:paraId="4A8F428B" w14:textId="1E492CA8" w:rsidR="00F2150C" w:rsidRPr="0016703E" w:rsidRDefault="000505ED" w:rsidP="0016703E">
          <w:pPr>
            <w:spacing w:after="0" w:line="240" w:lineRule="auto"/>
            <w:rPr>
              <w:rFonts w:ascii="Century Gothic" w:eastAsia="Arial" w:hAnsi="Century Gothic" w:cs="Arial"/>
              <w:b/>
              <w:sz w:val="24"/>
              <w:szCs w:val="24"/>
            </w:rPr>
          </w:pPr>
          <w:r w:rsidRPr="0016703E">
            <w:rPr>
              <w:rFonts w:ascii="Century Gothic" w:hAnsi="Century Gothic"/>
              <w:noProof/>
              <w:sz w:val="24"/>
              <w:szCs w:val="24"/>
            </w:rPr>
            <mc:AlternateContent>
              <mc:Choice Requires="wps">
                <w:drawing>
                  <wp:anchor distT="0" distB="0" distL="114300" distR="114300" simplePos="0" relativeHeight="251666432" behindDoc="0" locked="0" layoutInCell="1" hidden="0" allowOverlap="1" wp14:anchorId="089B11B3" wp14:editId="49E0FC9D">
                    <wp:simplePos x="0" y="0"/>
                    <wp:positionH relativeFrom="margin">
                      <wp:posOffset>-260985</wp:posOffset>
                    </wp:positionH>
                    <wp:positionV relativeFrom="paragraph">
                      <wp:posOffset>159385</wp:posOffset>
                    </wp:positionV>
                    <wp:extent cx="2857500" cy="647700"/>
                    <wp:effectExtent l="0" t="0" r="19050" b="19050"/>
                    <wp:wrapNone/>
                    <wp:docPr id="1709465721" name="Rectángulo 1709465721"/>
                    <wp:cNvGraphicFramePr/>
                    <a:graphic xmlns:a="http://schemas.openxmlformats.org/drawingml/2006/main">
                      <a:graphicData uri="http://schemas.microsoft.com/office/word/2010/wordprocessingShape">
                        <wps:wsp>
                          <wps:cNvSpPr/>
                          <wps:spPr>
                            <a:xfrm>
                              <a:off x="0" y="0"/>
                              <a:ext cx="2857500" cy="647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32D85C" w14:textId="77777777" w:rsidR="00F2150C" w:rsidRDefault="00D84AD5" w:rsidP="00497A99">
                                <w:pPr>
                                  <w:spacing w:line="275" w:lineRule="auto"/>
                                  <w:jc w:val="center"/>
                                  <w:textDirection w:val="btLr"/>
                                </w:pPr>
                                <w:r>
                                  <w:rPr>
                                    <w:color w:val="000000"/>
                                  </w:rPr>
                                  <w:t xml:space="preserve">Realizar examen físico completo para descartar </w:t>
                                </w:r>
                                <w:r w:rsidR="00497A99">
                                  <w:rPr>
                                    <w:color w:val="000000"/>
                                  </w:rPr>
                                  <w:t>otras patologías</w:t>
                                </w:r>
                                <w:r>
                                  <w:rPr>
                                    <w:color w:val="000000"/>
                                  </w:rPr>
                                  <w:t xml:space="preserve"> causantes del cuadro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089B11B3" id="Rectángulo 1709465721" o:spid="_x0000_s1029" style="position:absolute;margin-left:-20.55pt;margin-top:12.55pt;width:225pt;height:5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">
                    <v:stroke startarrowwidth="narrow" startarrowlength="short" endarrowwidth="narrow" endarrowlength="short"/>
                    <v:textbox inset="2.53958mm,1.2694mm,2.53958mm,1.2694mm">
                      <w:txbxContent>
                        <w:p w14:paraId="0132D85C" w14:textId="77777777" w:rsidR="00F2150C" w:rsidRDefault="00D84AD5" w:rsidP="00497A99">
                          <w:pPr>
                            <w:spacing w:line="275" w:lineRule="auto"/>
                            <w:jc w:val="center"/>
                            <w:textDirection w:val="btLr"/>
                          </w:pPr>
                          <w:r>
                            <w:rPr>
                              <w:color w:val="000000"/>
                            </w:rPr>
                            <w:t xml:space="preserve">Realizar examen físico completo para descartar </w:t>
                          </w:r>
                          <w:r w:rsidR="00497A99">
                            <w:rPr>
                              <w:color w:val="000000"/>
                            </w:rPr>
                            <w:t>otras patologías</w:t>
                          </w:r>
                          <w:r>
                            <w:rPr>
                              <w:color w:val="000000"/>
                            </w:rPr>
                            <w:t xml:space="preserve"> causantes del cuadro</w:t>
                          </w:r>
                        </w:p>
                      </w:txbxContent>
                    </v:textbox>
                    <w10:wrap anchorx="margin"/>
                  </v:rect>
                </w:pict>
              </mc:Fallback>
            </mc:AlternateContent>
          </w:r>
          <w:r w:rsidRPr="0016703E">
            <w:rPr>
              <w:rFonts w:ascii="Century Gothic" w:hAnsi="Century Gothic"/>
              <w:noProof/>
              <w:sz w:val="24"/>
              <w:szCs w:val="24"/>
            </w:rPr>
            <mc:AlternateContent>
              <mc:Choice Requires="wps">
                <w:drawing>
                  <wp:anchor distT="0" distB="0" distL="114300" distR="114300" simplePos="0" relativeHeight="251667456" behindDoc="0" locked="0" layoutInCell="1" hidden="0" allowOverlap="1" wp14:anchorId="728BD5F9" wp14:editId="331536E1">
                    <wp:simplePos x="0" y="0"/>
                    <wp:positionH relativeFrom="column">
                      <wp:posOffset>2977515</wp:posOffset>
                    </wp:positionH>
                    <wp:positionV relativeFrom="paragraph">
                      <wp:posOffset>121285</wp:posOffset>
                    </wp:positionV>
                    <wp:extent cx="2667000" cy="638175"/>
                    <wp:effectExtent l="0" t="0" r="19050" b="28575"/>
                    <wp:wrapNone/>
                    <wp:docPr id="1709465714" name="Rectángulo 1709465714"/>
                    <wp:cNvGraphicFramePr/>
                    <a:graphic xmlns:a="http://schemas.openxmlformats.org/drawingml/2006/main">
                      <a:graphicData uri="http://schemas.microsoft.com/office/word/2010/wordprocessingShape">
                        <wps:wsp>
                          <wps:cNvSpPr/>
                          <wps:spPr>
                            <a:xfrm>
                              <a:off x="0" y="0"/>
                              <a:ext cx="2667000" cy="638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D6D9C0" w14:textId="77777777" w:rsidR="00F2150C" w:rsidRDefault="00D84AD5" w:rsidP="00497A99">
                                <w:pPr>
                                  <w:spacing w:line="275" w:lineRule="auto"/>
                                  <w:jc w:val="center"/>
                                  <w:textDirection w:val="btLr"/>
                                </w:pPr>
                                <w:r>
                                  <w:rPr>
                                    <w:color w:val="000000"/>
                                  </w:rPr>
                                  <w:t xml:space="preserve">Realizar examen físico completo para descartar </w:t>
                                </w:r>
                                <w:r w:rsidR="00497A99">
                                  <w:rPr>
                                    <w:color w:val="000000"/>
                                  </w:rPr>
                                  <w:t>otras patologías</w:t>
                                </w:r>
                                <w:r>
                                  <w:rPr>
                                    <w:color w:val="000000"/>
                                  </w:rPr>
                                  <w:t xml:space="preserve"> causantes del cuadro</w:t>
                                </w:r>
                              </w:p>
                              <w:p w14:paraId="406C551F" w14:textId="77777777" w:rsidR="00F2150C" w:rsidRDefault="00F2150C">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728BD5F9" id="Rectángulo 1709465714" o:spid="_x0000_s1030" style="position:absolute;margin-left:234.45pt;margin-top:9.55pt;width:210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">
                    <v:stroke startarrowwidth="narrow" startarrowlength="short" endarrowwidth="narrow" endarrowlength="short"/>
                    <v:textbox inset="2.53958mm,1.2694mm,2.53958mm,1.2694mm">
                      <w:txbxContent>
                        <w:p w14:paraId="0FD6D9C0" w14:textId="77777777" w:rsidR="00F2150C" w:rsidRDefault="00D84AD5" w:rsidP="00497A99">
                          <w:pPr>
                            <w:spacing w:line="275" w:lineRule="auto"/>
                            <w:jc w:val="center"/>
                            <w:textDirection w:val="btLr"/>
                          </w:pPr>
                          <w:r>
                            <w:rPr>
                              <w:color w:val="000000"/>
                            </w:rPr>
                            <w:t xml:space="preserve">Realizar examen físico completo para descartar </w:t>
                          </w:r>
                          <w:r w:rsidR="00497A99">
                            <w:rPr>
                              <w:color w:val="000000"/>
                            </w:rPr>
                            <w:t>otras patologías</w:t>
                          </w:r>
                          <w:r>
                            <w:rPr>
                              <w:color w:val="000000"/>
                            </w:rPr>
                            <w:t xml:space="preserve"> causantes del cuadro</w:t>
                          </w:r>
                        </w:p>
                        <w:p w14:paraId="406C551F" w14:textId="77777777" w:rsidR="00F2150C" w:rsidRDefault="00F2150C">
                          <w:pPr>
                            <w:spacing w:line="275" w:lineRule="auto"/>
                            <w:textDirection w:val="btLr"/>
                          </w:pPr>
                        </w:p>
                      </w:txbxContent>
                    </v:textbox>
                  </v:rect>
                </w:pict>
              </mc:Fallback>
            </mc:AlternateContent>
          </w:r>
        </w:p>
        <w:p w14:paraId="74F8B1B3" w14:textId="3971AF80" w:rsidR="00F2150C" w:rsidRPr="0016703E" w:rsidRDefault="00F2150C" w:rsidP="0016703E">
          <w:pPr>
            <w:spacing w:after="0" w:line="240" w:lineRule="auto"/>
            <w:rPr>
              <w:rFonts w:ascii="Century Gothic" w:eastAsia="Arial" w:hAnsi="Century Gothic" w:cs="Arial"/>
              <w:b/>
              <w:sz w:val="24"/>
              <w:szCs w:val="24"/>
            </w:rPr>
          </w:pPr>
        </w:p>
        <w:p w14:paraId="03C60CC1" w14:textId="67AF5243" w:rsidR="00F2150C" w:rsidRPr="0016703E" w:rsidRDefault="00F2150C" w:rsidP="0016703E">
          <w:pPr>
            <w:spacing w:after="0" w:line="240" w:lineRule="auto"/>
            <w:rPr>
              <w:rFonts w:ascii="Century Gothic" w:eastAsia="Arial" w:hAnsi="Century Gothic" w:cs="Arial"/>
              <w:b/>
              <w:sz w:val="24"/>
              <w:szCs w:val="24"/>
            </w:rPr>
          </w:pPr>
        </w:p>
        <w:p w14:paraId="5FE3EACE" w14:textId="5D64F77D" w:rsidR="00F2150C" w:rsidRPr="0016703E" w:rsidRDefault="000505ED" w:rsidP="0016703E">
          <w:pPr>
            <w:spacing w:after="0" w:line="240" w:lineRule="auto"/>
            <w:rPr>
              <w:rFonts w:ascii="Century Gothic" w:eastAsia="Arial" w:hAnsi="Century Gothic" w:cs="Arial"/>
              <w:b/>
              <w:sz w:val="24"/>
              <w:szCs w:val="24"/>
            </w:rPr>
          </w:pPr>
          <w:r>
            <w:rPr>
              <w:rFonts w:ascii="Century Gothic" w:eastAsia="Arial" w:hAnsi="Century Gothic" w:cs="Arial"/>
              <w:b/>
              <w:noProof/>
              <w:sz w:val="24"/>
              <w:szCs w:val="24"/>
            </w:rPr>
            <mc:AlternateContent>
              <mc:Choice Requires="wps">
                <w:drawing>
                  <wp:anchor distT="0" distB="0" distL="114300" distR="114300" simplePos="0" relativeHeight="251695104" behindDoc="0" locked="0" layoutInCell="1" allowOverlap="1" wp14:anchorId="05775ECA" wp14:editId="45E9C888">
                    <wp:simplePos x="0" y="0"/>
                    <wp:positionH relativeFrom="column">
                      <wp:posOffset>4339590</wp:posOffset>
                    </wp:positionH>
                    <wp:positionV relativeFrom="paragraph">
                      <wp:posOffset>189230</wp:posOffset>
                    </wp:positionV>
                    <wp:extent cx="9525" cy="238125"/>
                    <wp:effectExtent l="38100" t="0" r="66675" b="47625"/>
                    <wp:wrapNone/>
                    <wp:docPr id="485092369" name="Conector recto de flecha 2"/>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shape w14:anchorId="4BDB37A9" id="Conector recto de flecha 2" o:spid="_x0000_s1026" type="#_x0000_t32" style="position:absolute;margin-left:341.7pt;margin-top:14.9pt;width:.75pt;height:18.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" strokecolor="#4579b8 [3044]">
                    <v:stroke endarrow="block"/>
                  </v:shape>
                </w:pict>
              </mc:Fallback>
            </mc:AlternateContent>
          </w:r>
        </w:p>
        <w:p w14:paraId="45B3BE7F" w14:textId="5A9CC1FB" w:rsidR="00F2150C" w:rsidRPr="0016703E" w:rsidRDefault="000505ED" w:rsidP="0016703E">
          <w:pPr>
            <w:spacing w:after="0" w:line="240" w:lineRule="auto"/>
            <w:rPr>
              <w:rFonts w:ascii="Century Gothic" w:eastAsia="Arial" w:hAnsi="Century Gothic" w:cs="Arial"/>
              <w:sz w:val="24"/>
              <w:szCs w:val="24"/>
            </w:rPr>
          </w:pPr>
          <w:r>
            <w:rPr>
              <w:rFonts w:ascii="Century Gothic" w:eastAsia="Arial" w:hAnsi="Century Gothic" w:cs="Arial"/>
              <w:b/>
              <w:noProof/>
              <w:sz w:val="24"/>
              <w:szCs w:val="24"/>
            </w:rPr>
            <mc:AlternateContent>
              <mc:Choice Requires="wps">
                <w:drawing>
                  <wp:anchor distT="0" distB="0" distL="114300" distR="114300" simplePos="0" relativeHeight="251694080" behindDoc="0" locked="0" layoutInCell="1" allowOverlap="1" wp14:anchorId="224A25C2" wp14:editId="5B101FA8">
                    <wp:simplePos x="0" y="0"/>
                    <wp:positionH relativeFrom="column">
                      <wp:posOffset>1066800</wp:posOffset>
                    </wp:positionH>
                    <wp:positionV relativeFrom="paragraph">
                      <wp:posOffset>68580</wp:posOffset>
                    </wp:positionV>
                    <wp:extent cx="9525" cy="238125"/>
                    <wp:effectExtent l="38100" t="0" r="66675" b="47625"/>
                    <wp:wrapNone/>
                    <wp:docPr id="1012457852" name="Conector recto de flecha 1"/>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shape w14:anchorId="56FE0EA4" id="Conector recto de flecha 1" o:spid="_x0000_s1026" type="#_x0000_t32" style="position:absolute;margin-left:84pt;margin-top:5.4pt;width:.75pt;height:18.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" strokecolor="#4579b8 [3044]">
                    <v:stroke endarrow="block"/>
                  </v:shape>
                </w:pict>
              </mc:Fallback>
            </mc:AlternateContent>
          </w:r>
        </w:p>
        <w:p w14:paraId="1B9FE9ED" w14:textId="2DC9411A" w:rsidR="00F2150C" w:rsidRPr="0016703E" w:rsidRDefault="000505ED" w:rsidP="0016703E">
          <w:pPr>
            <w:spacing w:after="0" w:line="240" w:lineRule="auto"/>
            <w:rPr>
              <w:rFonts w:ascii="Century Gothic" w:eastAsia="Arial" w:hAnsi="Century Gothic" w:cs="Arial"/>
              <w:b/>
              <w:sz w:val="24"/>
              <w:szCs w:val="24"/>
            </w:rPr>
          </w:pPr>
          <w:r w:rsidRPr="0016703E">
            <w:rPr>
              <w:rFonts w:ascii="Century Gothic" w:hAnsi="Century Gothic"/>
              <w:noProof/>
              <w:sz w:val="24"/>
              <w:szCs w:val="24"/>
            </w:rPr>
            <mc:AlternateContent>
              <mc:Choice Requires="wps">
                <w:drawing>
                  <wp:anchor distT="0" distB="0" distL="114300" distR="114300" simplePos="0" relativeHeight="251670528" behindDoc="0" locked="0" layoutInCell="1" hidden="0" allowOverlap="1" wp14:anchorId="4CA81918" wp14:editId="34BB862A">
                    <wp:simplePos x="0" y="0"/>
                    <wp:positionH relativeFrom="column">
                      <wp:posOffset>2777490</wp:posOffset>
                    </wp:positionH>
                    <wp:positionV relativeFrom="paragraph">
                      <wp:posOffset>72390</wp:posOffset>
                    </wp:positionV>
                    <wp:extent cx="3162300" cy="1152525"/>
                    <wp:effectExtent l="0" t="0" r="19050" b="28575"/>
                    <wp:wrapNone/>
                    <wp:docPr id="1709465729" name="Rectángulo 1709465729"/>
                    <wp:cNvGraphicFramePr/>
                    <a:graphic xmlns:a="http://schemas.openxmlformats.org/drawingml/2006/main">
                      <a:graphicData uri="http://schemas.microsoft.com/office/word/2010/wordprocessingShape">
                        <wps:wsp>
                          <wps:cNvSpPr/>
                          <wps:spPr>
                            <a:xfrm>
                              <a:off x="0" y="0"/>
                              <a:ext cx="3162300" cy="1152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246E801" w14:textId="77777777" w:rsidR="00F2150C" w:rsidRPr="00497A99" w:rsidRDefault="00D84AD5" w:rsidP="00497A99">
                                <w:pPr>
                                  <w:spacing w:line="275" w:lineRule="auto"/>
                                  <w:jc w:val="center"/>
                                  <w:textDirection w:val="btLr"/>
                                </w:pPr>
                                <w:r w:rsidRPr="00497A99">
                                  <w:t xml:space="preserve">Inicie con laxantes formadores de masa o laxantes con efecto osmótico, si hay dolor </w:t>
                                </w:r>
                                <w:r w:rsidR="00497A99" w:rsidRPr="00497A99">
                                  <w:t>abdominal utilice</w:t>
                                </w:r>
                                <w:r w:rsidRPr="00497A99">
                                  <w:t xml:space="preserve"> un medicamento </w:t>
                                </w:r>
                                <w:r w:rsidR="00497A99" w:rsidRPr="00497A99">
                                  <w:t>anticolinérgico</w:t>
                                </w:r>
                                <w:r w:rsidRPr="00497A99">
                                  <w:t>.</w:t>
                                </w:r>
                              </w:p>
                              <w:p w14:paraId="753F0F97" w14:textId="77777777" w:rsidR="00F2150C" w:rsidRPr="00497A99" w:rsidRDefault="00D84AD5" w:rsidP="00497A99">
                                <w:pPr>
                                  <w:spacing w:line="275" w:lineRule="auto"/>
                                  <w:jc w:val="center"/>
                                  <w:textDirection w:val="btLr"/>
                                </w:pPr>
                                <w:r w:rsidRPr="00497A99">
                                  <w:t>La fibra soluble es apropiada para el tratamiento sintomático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4CA81918" id="Rectángulo 1709465729" o:spid="_x0000_s1031" style="position:absolute;margin-left:218.7pt;margin-top:5.7pt;width:249pt;height:9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">
                    <v:stroke startarrowwidth="narrow" startarrowlength="short" endarrowwidth="narrow" endarrowlength="short"/>
                    <v:textbox inset="2.53958mm,1.2694mm,2.53958mm,1.2694mm">
                      <w:txbxContent>
                        <w:p w14:paraId="0246E801" w14:textId="77777777" w:rsidR="00F2150C" w:rsidRPr="00497A99" w:rsidRDefault="00D84AD5" w:rsidP="00497A99">
                          <w:pPr>
                            <w:spacing w:line="275" w:lineRule="auto"/>
                            <w:jc w:val="center"/>
                            <w:textDirection w:val="btLr"/>
                          </w:pPr>
                          <w:r w:rsidRPr="00497A99">
                            <w:t xml:space="preserve">Inicie con laxantes formadores de masa o laxantes con efecto osmótico, si hay dolor </w:t>
                          </w:r>
                          <w:r w:rsidR="00497A99" w:rsidRPr="00497A99">
                            <w:t>abdominal utilice</w:t>
                          </w:r>
                          <w:r w:rsidRPr="00497A99">
                            <w:t xml:space="preserve"> un medicamento </w:t>
                          </w:r>
                          <w:r w:rsidR="00497A99" w:rsidRPr="00497A99">
                            <w:t>anticolinérgico</w:t>
                          </w:r>
                          <w:r w:rsidRPr="00497A99">
                            <w:t>.</w:t>
                          </w:r>
                        </w:p>
                        <w:p w14:paraId="753F0F97" w14:textId="77777777" w:rsidR="00F2150C" w:rsidRPr="00497A99" w:rsidRDefault="00D84AD5" w:rsidP="00497A99">
                          <w:pPr>
                            <w:spacing w:line="275" w:lineRule="auto"/>
                            <w:jc w:val="center"/>
                            <w:textDirection w:val="btLr"/>
                          </w:pPr>
                          <w:r w:rsidRPr="00497A99">
                            <w:t>La fibra soluble es apropiada para el tratamiento sintomático</w:t>
                          </w:r>
                        </w:p>
                      </w:txbxContent>
                    </v:textbox>
                  </v:rect>
                </w:pict>
              </mc:Fallback>
            </mc:AlternateContent>
          </w:r>
          <w:r w:rsidRPr="0016703E">
            <w:rPr>
              <w:rFonts w:ascii="Century Gothic" w:hAnsi="Century Gothic"/>
              <w:noProof/>
              <w:sz w:val="24"/>
              <w:szCs w:val="24"/>
            </w:rPr>
            <mc:AlternateContent>
              <mc:Choice Requires="wps">
                <w:drawing>
                  <wp:anchor distT="0" distB="0" distL="114300" distR="114300" simplePos="0" relativeHeight="251671552" behindDoc="0" locked="0" layoutInCell="1" hidden="0" allowOverlap="1" wp14:anchorId="510E1AEA" wp14:editId="04CAEFC8">
                    <wp:simplePos x="0" y="0"/>
                    <wp:positionH relativeFrom="column">
                      <wp:posOffset>-203835</wp:posOffset>
                    </wp:positionH>
                    <wp:positionV relativeFrom="paragraph">
                      <wp:posOffset>129540</wp:posOffset>
                    </wp:positionV>
                    <wp:extent cx="2402840" cy="952500"/>
                    <wp:effectExtent l="0" t="0" r="16510" b="19050"/>
                    <wp:wrapNone/>
                    <wp:docPr id="1709465715" name="Rectángulo 1709465715"/>
                    <wp:cNvGraphicFramePr/>
                    <a:graphic xmlns:a="http://schemas.openxmlformats.org/drawingml/2006/main">
                      <a:graphicData uri="http://schemas.microsoft.com/office/word/2010/wordprocessingShape">
                        <wps:wsp>
                          <wps:cNvSpPr/>
                          <wps:spPr>
                            <a:xfrm>
                              <a:off x="0" y="0"/>
                              <a:ext cx="2402840" cy="952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D1385A" w14:textId="77777777" w:rsidR="00F2150C" w:rsidRPr="00497A99" w:rsidRDefault="00D84AD5" w:rsidP="00497A99">
                                <w:pPr>
                                  <w:spacing w:line="275" w:lineRule="auto"/>
                                  <w:jc w:val="center"/>
                                  <w:textDirection w:val="btLr"/>
                                </w:pPr>
                                <w:r w:rsidRPr="00497A99">
                                  <w:t>Cuando hay diarrea severa puede utilizarse loperamida.</w:t>
                                </w:r>
                              </w:p>
                              <w:p w14:paraId="0B6B7BA9" w14:textId="77777777" w:rsidR="00F2150C" w:rsidRPr="00497A99" w:rsidRDefault="00D84AD5" w:rsidP="00497A99">
                                <w:pPr>
                                  <w:spacing w:line="275" w:lineRule="auto"/>
                                  <w:jc w:val="center"/>
                                  <w:textDirection w:val="btLr"/>
                                </w:pPr>
                                <w:r w:rsidRPr="00497A99">
                                  <w:t xml:space="preserve">Si hay dolor </w:t>
                                </w:r>
                                <w:r w:rsidR="00497A99" w:rsidRPr="00497A99">
                                  <w:t>abdominal utilice</w:t>
                                </w:r>
                                <w:r w:rsidRPr="00497A99">
                                  <w:t xml:space="preserve"> un medicamento </w:t>
                                </w:r>
                                <w:r w:rsidR="00497A99" w:rsidRPr="00497A99">
                                  <w:t>anticolinérgico</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510E1AEA" id="Rectángulo 1709465715" o:spid="_x0000_s1032" style="position:absolute;margin-left:-16.05pt;margin-top:10.2pt;width:189.2pt;height: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">
                    <v:stroke startarrowwidth="narrow" startarrowlength="short" endarrowwidth="narrow" endarrowlength="short"/>
                    <v:textbox inset="2.53958mm,1.2694mm,2.53958mm,1.2694mm">
                      <w:txbxContent>
                        <w:p w14:paraId="0ED1385A" w14:textId="77777777" w:rsidR="00F2150C" w:rsidRPr="00497A99" w:rsidRDefault="00D84AD5" w:rsidP="00497A99">
                          <w:pPr>
                            <w:spacing w:line="275" w:lineRule="auto"/>
                            <w:jc w:val="center"/>
                            <w:textDirection w:val="btLr"/>
                          </w:pPr>
                          <w:r w:rsidRPr="00497A99">
                            <w:t>Cuando hay diarrea severa puede utilizarse loperamida.</w:t>
                          </w:r>
                        </w:p>
                        <w:p w14:paraId="0B6B7BA9" w14:textId="77777777" w:rsidR="00F2150C" w:rsidRPr="00497A99" w:rsidRDefault="00D84AD5" w:rsidP="00497A99">
                          <w:pPr>
                            <w:spacing w:line="275" w:lineRule="auto"/>
                            <w:jc w:val="center"/>
                            <w:textDirection w:val="btLr"/>
                          </w:pPr>
                          <w:r w:rsidRPr="00497A99">
                            <w:t xml:space="preserve">Si hay dolor </w:t>
                          </w:r>
                          <w:r w:rsidR="00497A99" w:rsidRPr="00497A99">
                            <w:t>abdominal utilice</w:t>
                          </w:r>
                          <w:r w:rsidRPr="00497A99">
                            <w:t xml:space="preserve"> un medicamento </w:t>
                          </w:r>
                          <w:r w:rsidR="00497A99" w:rsidRPr="00497A99">
                            <w:t>anticolinérgico</w:t>
                          </w:r>
                        </w:p>
                      </w:txbxContent>
                    </v:textbox>
                  </v:rect>
                </w:pict>
              </mc:Fallback>
            </mc:AlternateContent>
          </w:r>
        </w:p>
        <w:p w14:paraId="60DDF021" w14:textId="6F6EB9C8" w:rsidR="00F2150C" w:rsidRPr="0016703E" w:rsidRDefault="00F2150C" w:rsidP="0016703E">
          <w:pPr>
            <w:spacing w:after="0" w:line="240" w:lineRule="auto"/>
            <w:rPr>
              <w:rFonts w:ascii="Century Gothic" w:eastAsia="Arial" w:hAnsi="Century Gothic" w:cs="Arial"/>
              <w:b/>
              <w:sz w:val="24"/>
              <w:szCs w:val="24"/>
            </w:rPr>
          </w:pPr>
        </w:p>
        <w:p w14:paraId="3D520352" w14:textId="21F42201" w:rsidR="00F2150C" w:rsidRPr="0016703E" w:rsidRDefault="00F2150C" w:rsidP="0016703E">
          <w:pPr>
            <w:spacing w:after="0" w:line="240" w:lineRule="auto"/>
            <w:rPr>
              <w:rFonts w:ascii="Century Gothic" w:eastAsia="Arial" w:hAnsi="Century Gothic" w:cs="Arial"/>
              <w:b/>
              <w:sz w:val="24"/>
              <w:szCs w:val="24"/>
            </w:rPr>
          </w:pPr>
        </w:p>
        <w:p w14:paraId="0E5638C2" w14:textId="77777777" w:rsidR="00F2150C" w:rsidRPr="0016703E" w:rsidRDefault="00F2150C" w:rsidP="0016703E">
          <w:pPr>
            <w:spacing w:after="0" w:line="240" w:lineRule="auto"/>
            <w:rPr>
              <w:rFonts w:ascii="Century Gothic" w:eastAsia="Arial" w:hAnsi="Century Gothic" w:cs="Arial"/>
              <w:b/>
              <w:sz w:val="24"/>
              <w:szCs w:val="24"/>
            </w:rPr>
          </w:pPr>
        </w:p>
        <w:p w14:paraId="1CCC2765" w14:textId="77777777" w:rsidR="00F2150C" w:rsidRPr="0016703E" w:rsidRDefault="00F2150C" w:rsidP="0016703E">
          <w:pPr>
            <w:spacing w:after="0" w:line="240" w:lineRule="auto"/>
            <w:rPr>
              <w:rFonts w:ascii="Century Gothic" w:eastAsia="Arial" w:hAnsi="Century Gothic" w:cs="Arial"/>
              <w:b/>
              <w:sz w:val="24"/>
              <w:szCs w:val="24"/>
            </w:rPr>
          </w:pPr>
        </w:p>
        <w:p w14:paraId="5F101B04" w14:textId="464D858D" w:rsidR="00F2150C" w:rsidRPr="0016703E" w:rsidRDefault="000505ED" w:rsidP="0016703E">
          <w:pPr>
            <w:spacing w:after="0" w:line="240" w:lineRule="auto"/>
            <w:rPr>
              <w:rFonts w:ascii="Century Gothic" w:eastAsia="Arial" w:hAnsi="Century Gothic" w:cs="Arial"/>
              <w:b/>
              <w:sz w:val="24"/>
              <w:szCs w:val="24"/>
            </w:rPr>
          </w:pPr>
          <w:r w:rsidRPr="0016703E">
            <w:rPr>
              <w:rFonts w:ascii="Century Gothic" w:hAnsi="Century Gothic"/>
              <w:noProof/>
              <w:sz w:val="24"/>
              <w:szCs w:val="24"/>
            </w:rPr>
            <mc:AlternateContent>
              <mc:Choice Requires="wps">
                <w:drawing>
                  <wp:anchor distT="0" distB="0" distL="114300" distR="114300" simplePos="0" relativeHeight="251684864" behindDoc="0" locked="0" layoutInCell="1" hidden="0" allowOverlap="1" wp14:anchorId="174E8A2F" wp14:editId="5186AB43">
                    <wp:simplePos x="0" y="0"/>
                    <wp:positionH relativeFrom="column">
                      <wp:posOffset>4249103</wp:posOffset>
                    </wp:positionH>
                    <wp:positionV relativeFrom="paragraph">
                      <wp:posOffset>159704</wp:posOffset>
                    </wp:positionV>
                    <wp:extent cx="311783" cy="535940"/>
                    <wp:effectExtent l="40005" t="0" r="14605" b="52705"/>
                    <wp:wrapNone/>
                    <wp:docPr id="2032468982" name="Conector recto de flecha 2032468982"/>
                    <wp:cNvGraphicFramePr/>
                    <a:graphic xmlns:a="http://schemas.openxmlformats.org/drawingml/2006/main">
                      <a:graphicData uri="http://schemas.microsoft.com/office/word/2010/wordprocessingShape">
                        <wps:wsp>
                          <wps:cNvCnPr/>
                          <wps:spPr>
                            <a:xfrm rot="16200000" flipH="1" flipV="1">
                              <a:off x="0" y="0"/>
                              <a:ext cx="311783" cy="535940"/>
                            </a:xfrm>
                            <a:prstGeom prst="straightConnector1">
                              <a:avLst/>
                            </a:prstGeom>
                            <a:noFill/>
                            <a:ln w="9525" cap="flat" cmpd="sng">
                              <a:solidFill>
                                <a:srgbClr val="4A7DBA"/>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477C036" id="Conector recto de flecha 2032468982" o:spid="_x0000_s1026" type="#_x0000_t32" style="position:absolute;margin-left:334.6pt;margin-top:12.6pt;width:24.55pt;height:42.2pt;rotation:-90;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" strokecolor="#4a7dba">
                    <v:stroke startarrowwidth="narrow" startarrowlength="short" endarrow="classic"/>
                  </v:shape>
                </w:pict>
              </mc:Fallback>
            </mc:AlternateContent>
          </w:r>
        </w:p>
        <w:p w14:paraId="07E953AE" w14:textId="392DE580" w:rsidR="00F2150C" w:rsidRPr="0016703E" w:rsidRDefault="000505ED" w:rsidP="0016703E">
          <w:pPr>
            <w:spacing w:after="0" w:line="240" w:lineRule="auto"/>
            <w:rPr>
              <w:rFonts w:ascii="Century Gothic" w:eastAsia="Arial" w:hAnsi="Century Gothic" w:cs="Arial"/>
              <w:b/>
              <w:sz w:val="24"/>
              <w:szCs w:val="24"/>
            </w:rPr>
          </w:pPr>
          <w:r w:rsidRPr="0016703E">
            <w:rPr>
              <w:rFonts w:ascii="Century Gothic" w:hAnsi="Century Gothic"/>
              <w:noProof/>
              <w:sz w:val="24"/>
              <w:szCs w:val="24"/>
            </w:rPr>
            <mc:AlternateContent>
              <mc:Choice Requires="wps">
                <w:drawing>
                  <wp:anchor distT="0" distB="0" distL="114300" distR="114300" simplePos="0" relativeHeight="251674624" behindDoc="0" locked="0" layoutInCell="1" hidden="0" allowOverlap="1" wp14:anchorId="1E3C50D4" wp14:editId="187F15CD">
                    <wp:simplePos x="0" y="0"/>
                    <wp:positionH relativeFrom="margin">
                      <wp:posOffset>1701165</wp:posOffset>
                    </wp:positionH>
                    <wp:positionV relativeFrom="paragraph">
                      <wp:posOffset>189865</wp:posOffset>
                    </wp:positionV>
                    <wp:extent cx="2400300" cy="447675"/>
                    <wp:effectExtent l="0" t="0" r="19050" b="28575"/>
                    <wp:wrapNone/>
                    <wp:docPr id="1709465713" name="Rectángulo 1709465713"/>
                    <wp:cNvGraphicFramePr/>
                    <a:graphic xmlns:a="http://schemas.openxmlformats.org/drawingml/2006/main">
                      <a:graphicData uri="http://schemas.microsoft.com/office/word/2010/wordprocessingShape">
                        <wps:wsp>
                          <wps:cNvSpPr/>
                          <wps:spPr>
                            <a:xfrm>
                              <a:off x="0" y="0"/>
                              <a:ext cx="2400300" cy="4476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AFDFAE" w14:textId="77777777" w:rsidR="00F2150C" w:rsidRDefault="00D84AD5" w:rsidP="00FC4FA9">
                                <w:pPr>
                                  <w:spacing w:line="275" w:lineRule="auto"/>
                                  <w:jc w:val="center"/>
                                  <w:textDirection w:val="btLr"/>
                                </w:pPr>
                                <w:r>
                                  <w:rPr>
                                    <w:color w:val="000000"/>
                                  </w:rPr>
                                  <w:t>Considere la necesidad de iniciar un antidepresivo tricíclico</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1E3C50D4" id="Rectángulo 1709465713" o:spid="_x0000_s1033" style="position:absolute;margin-left:133.95pt;margin-top:14.95pt;width:189pt;height:35.2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">
                    <v:stroke startarrowwidth="narrow" startarrowlength="short" endarrowwidth="narrow" endarrowlength="short"/>
                    <v:textbox inset="2.53958mm,1.2694mm,2.53958mm,1.2694mm">
                      <w:txbxContent>
                        <w:p w14:paraId="35AFDFAE" w14:textId="77777777" w:rsidR="00F2150C" w:rsidRDefault="00D84AD5" w:rsidP="00FC4FA9">
                          <w:pPr>
                            <w:spacing w:line="275" w:lineRule="auto"/>
                            <w:jc w:val="center"/>
                            <w:textDirection w:val="btLr"/>
                          </w:pPr>
                          <w:r>
                            <w:rPr>
                              <w:color w:val="000000"/>
                            </w:rPr>
                            <w:t>Considere la necesidad de iniciar un antidepresivo tricíclico</w:t>
                          </w:r>
                        </w:p>
                      </w:txbxContent>
                    </v:textbox>
                    <w10:wrap anchorx="margin"/>
                  </v:rect>
                </w:pict>
              </mc:Fallback>
            </mc:AlternateContent>
          </w:r>
          <w:r w:rsidRPr="0016703E">
            <w:rPr>
              <w:rFonts w:ascii="Century Gothic" w:hAnsi="Century Gothic"/>
              <w:noProof/>
              <w:sz w:val="24"/>
              <w:szCs w:val="24"/>
            </w:rPr>
            <mc:AlternateContent>
              <mc:Choice Requires="wps">
                <w:drawing>
                  <wp:anchor distT="0" distB="0" distL="114300" distR="114300" simplePos="0" relativeHeight="251672576" behindDoc="0" locked="0" layoutInCell="1" hidden="0" allowOverlap="1" wp14:anchorId="0E981FD9" wp14:editId="22443BD1">
                    <wp:simplePos x="0" y="0"/>
                    <wp:positionH relativeFrom="column">
                      <wp:posOffset>901065</wp:posOffset>
                    </wp:positionH>
                    <wp:positionV relativeFrom="paragraph">
                      <wp:posOffset>8890</wp:posOffset>
                    </wp:positionV>
                    <wp:extent cx="790575" cy="371475"/>
                    <wp:effectExtent l="0" t="0" r="47625" b="66675"/>
                    <wp:wrapNone/>
                    <wp:docPr id="1709465724" name="Conector recto de flecha 1709465724"/>
                    <wp:cNvGraphicFramePr/>
                    <a:graphic xmlns:a="http://schemas.openxmlformats.org/drawingml/2006/main">
                      <a:graphicData uri="http://schemas.microsoft.com/office/word/2010/wordprocessingShape">
                        <wps:wsp>
                          <wps:cNvCnPr/>
                          <wps:spPr>
                            <a:xfrm>
                              <a:off x="0" y="0"/>
                              <a:ext cx="790575" cy="371475"/>
                            </a:xfrm>
                            <a:prstGeom prst="straightConnector1">
                              <a:avLst/>
                            </a:prstGeom>
                            <a:noFill/>
                            <a:ln w="9525" cap="flat" cmpd="sng">
                              <a:solidFill>
                                <a:srgbClr val="4A7DBA"/>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A6800D2" id="Conector recto de flecha 1709465724" o:spid="_x0000_s1026" type="#_x0000_t32" style="position:absolute;margin-left:70.95pt;margin-top:.7pt;width:62.2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" strokecolor="#4a7dba">
                    <v:stroke startarrowwidth="narrow" startarrowlength="short" endarrow="classic"/>
                  </v:shape>
                </w:pict>
              </mc:Fallback>
            </mc:AlternateContent>
          </w:r>
        </w:p>
        <w:p w14:paraId="1D3BEAEB" w14:textId="25F69816" w:rsidR="00F2150C" w:rsidRPr="0016703E" w:rsidRDefault="00F2150C" w:rsidP="0016703E">
          <w:pPr>
            <w:spacing w:after="0" w:line="240" w:lineRule="auto"/>
            <w:rPr>
              <w:rFonts w:ascii="Century Gothic" w:eastAsia="Arial" w:hAnsi="Century Gothic" w:cs="Arial"/>
              <w:b/>
              <w:sz w:val="24"/>
              <w:szCs w:val="24"/>
            </w:rPr>
          </w:pPr>
        </w:p>
        <w:p w14:paraId="1EAFEF66" w14:textId="665A29FF" w:rsidR="00F2150C" w:rsidRPr="0016703E" w:rsidRDefault="00F2150C" w:rsidP="0016703E">
          <w:pPr>
            <w:spacing w:after="0" w:line="240" w:lineRule="auto"/>
            <w:rPr>
              <w:rFonts w:ascii="Century Gothic" w:eastAsia="Arial" w:hAnsi="Century Gothic" w:cs="Arial"/>
              <w:b/>
              <w:sz w:val="24"/>
              <w:szCs w:val="24"/>
            </w:rPr>
          </w:pPr>
        </w:p>
        <w:p w14:paraId="5E7FCE1B" w14:textId="01F3B3B8" w:rsidR="00F2150C" w:rsidRPr="0016703E" w:rsidRDefault="000505ED" w:rsidP="0016703E">
          <w:pPr>
            <w:spacing w:after="0" w:line="240" w:lineRule="auto"/>
            <w:rPr>
              <w:rFonts w:ascii="Century Gothic" w:eastAsia="Arial" w:hAnsi="Century Gothic" w:cs="Arial"/>
              <w:b/>
              <w:sz w:val="24"/>
              <w:szCs w:val="24"/>
            </w:rPr>
          </w:pPr>
          <w:r>
            <w:rPr>
              <w:rFonts w:ascii="Century Gothic" w:eastAsia="Arial" w:hAnsi="Century Gothic" w:cs="Arial"/>
              <w:b/>
              <w:noProof/>
              <w:sz w:val="24"/>
              <w:szCs w:val="24"/>
            </w:rPr>
            <mc:AlternateContent>
              <mc:Choice Requires="wps">
                <w:drawing>
                  <wp:anchor distT="0" distB="0" distL="114300" distR="114300" simplePos="0" relativeHeight="251696128" behindDoc="0" locked="0" layoutInCell="1" allowOverlap="1" wp14:anchorId="62C5274A" wp14:editId="722770C5">
                    <wp:simplePos x="0" y="0"/>
                    <wp:positionH relativeFrom="column">
                      <wp:posOffset>2806065</wp:posOffset>
                    </wp:positionH>
                    <wp:positionV relativeFrom="paragraph">
                      <wp:posOffset>86360</wp:posOffset>
                    </wp:positionV>
                    <wp:extent cx="0" cy="200025"/>
                    <wp:effectExtent l="76200" t="0" r="57150" b="47625"/>
                    <wp:wrapNone/>
                    <wp:docPr id="1717567772" name="Conector recto de flecha 3"/>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shape w14:anchorId="56CBCF79" id="Conector recto de flecha 3" o:spid="_x0000_s1026" type="#_x0000_t32" style="position:absolute;margin-left:220.95pt;margin-top:6.8pt;width:0;height:15.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" strokecolor="#4579b8 [3044]">
                    <v:stroke endarrow="block"/>
                  </v:shape>
                </w:pict>
              </mc:Fallback>
            </mc:AlternateContent>
          </w:r>
        </w:p>
        <w:p w14:paraId="6812C888" w14:textId="63FCD4DB" w:rsidR="00F2150C" w:rsidRPr="0016703E" w:rsidRDefault="000505ED" w:rsidP="0016703E">
          <w:pPr>
            <w:spacing w:after="0" w:line="240" w:lineRule="auto"/>
            <w:rPr>
              <w:rFonts w:ascii="Century Gothic" w:eastAsia="Arial" w:hAnsi="Century Gothic" w:cs="Arial"/>
              <w:b/>
              <w:sz w:val="24"/>
              <w:szCs w:val="24"/>
            </w:rPr>
          </w:pPr>
          <w:r w:rsidRPr="0016703E">
            <w:rPr>
              <w:rFonts w:ascii="Century Gothic" w:hAnsi="Century Gothic"/>
              <w:noProof/>
              <w:sz w:val="24"/>
              <w:szCs w:val="24"/>
            </w:rPr>
            <mc:AlternateContent>
              <mc:Choice Requires="wps">
                <w:drawing>
                  <wp:anchor distT="0" distB="0" distL="114300" distR="114300" simplePos="0" relativeHeight="251676672" behindDoc="0" locked="0" layoutInCell="1" hidden="0" allowOverlap="1" wp14:anchorId="0E98920C" wp14:editId="757ED083">
                    <wp:simplePos x="0" y="0"/>
                    <wp:positionH relativeFrom="margin">
                      <wp:align>center</wp:align>
                    </wp:positionH>
                    <wp:positionV relativeFrom="paragraph">
                      <wp:posOffset>124460</wp:posOffset>
                    </wp:positionV>
                    <wp:extent cx="2127250" cy="1028700"/>
                    <wp:effectExtent l="0" t="0" r="25400" b="19050"/>
                    <wp:wrapNone/>
                    <wp:docPr id="1709465730" name="Rectángulo 1709465730"/>
                    <wp:cNvGraphicFramePr/>
                    <a:graphic xmlns:a="http://schemas.openxmlformats.org/drawingml/2006/main">
                      <a:graphicData uri="http://schemas.microsoft.com/office/word/2010/wordprocessingShape">
                        <wps:wsp>
                          <wps:cNvSpPr/>
                          <wps:spPr>
                            <a:xfrm>
                              <a:off x="0" y="0"/>
                              <a:ext cx="2127250" cy="1028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7BB000" w14:textId="77777777" w:rsidR="00F2150C" w:rsidRDefault="00D84AD5" w:rsidP="00FC4FA9">
                                <w:pPr>
                                  <w:spacing w:line="275" w:lineRule="auto"/>
                                  <w:jc w:val="center"/>
                                  <w:textDirection w:val="btLr"/>
                                </w:pPr>
                                <w:r>
                                  <w:rPr>
                                    <w:color w:val="000000"/>
                                  </w:rPr>
                                  <w:t>En ambos casos realice tratamiento no farmacológico: Actividad física, medidas dietéticas, psicoterapia en caso necesario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0E98920C" id="Rectángulo 1709465730" o:spid="_x0000_s1034" style="position:absolute;margin-left:0;margin-top:9.8pt;width:167.5pt;height:81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">
                    <v:stroke startarrowwidth="narrow" startarrowlength="short" endarrowwidth="narrow" endarrowlength="short"/>
                    <v:textbox inset="2.53958mm,1.2694mm,2.53958mm,1.2694mm">
                      <w:txbxContent>
                        <w:p w14:paraId="1F7BB000" w14:textId="77777777" w:rsidR="00F2150C" w:rsidRDefault="00D84AD5" w:rsidP="00FC4FA9">
                          <w:pPr>
                            <w:spacing w:line="275" w:lineRule="auto"/>
                            <w:jc w:val="center"/>
                            <w:textDirection w:val="btLr"/>
                          </w:pPr>
                          <w:r>
                            <w:rPr>
                              <w:color w:val="000000"/>
                            </w:rPr>
                            <w:t>En ambos casos realice tratamiento no farmacológico: Actividad física, medidas dietéticas, psicoterapia en caso necesario</w:t>
                          </w:r>
                        </w:p>
                      </w:txbxContent>
                    </v:textbox>
                    <w10:wrap anchorx="margin"/>
                  </v:rect>
                </w:pict>
              </mc:Fallback>
            </mc:AlternateContent>
          </w:r>
        </w:p>
        <w:p w14:paraId="33A40ABC" w14:textId="6425EEEA" w:rsidR="00F2150C" w:rsidRPr="0016703E" w:rsidRDefault="00F2150C" w:rsidP="0016703E">
          <w:pPr>
            <w:spacing w:after="0" w:line="240" w:lineRule="auto"/>
            <w:rPr>
              <w:rFonts w:ascii="Century Gothic" w:eastAsia="Arial" w:hAnsi="Century Gothic" w:cs="Arial"/>
              <w:b/>
              <w:sz w:val="24"/>
              <w:szCs w:val="24"/>
            </w:rPr>
          </w:pPr>
        </w:p>
        <w:p w14:paraId="373C9568" w14:textId="6FFD5042" w:rsidR="00F2150C" w:rsidRPr="0016703E" w:rsidRDefault="00F2150C" w:rsidP="0016703E">
          <w:pPr>
            <w:spacing w:after="0" w:line="240" w:lineRule="auto"/>
            <w:rPr>
              <w:rFonts w:ascii="Century Gothic" w:eastAsia="Arial" w:hAnsi="Century Gothic" w:cs="Arial"/>
              <w:b/>
              <w:sz w:val="24"/>
              <w:szCs w:val="24"/>
            </w:rPr>
          </w:pPr>
        </w:p>
        <w:p w14:paraId="2A3C78B8" w14:textId="77777777" w:rsidR="00F2150C" w:rsidRPr="0016703E" w:rsidRDefault="00F2150C" w:rsidP="0016703E">
          <w:pPr>
            <w:spacing w:after="0" w:line="240" w:lineRule="auto"/>
            <w:rPr>
              <w:rFonts w:ascii="Century Gothic" w:eastAsia="Arial" w:hAnsi="Century Gothic" w:cs="Arial"/>
              <w:b/>
              <w:sz w:val="24"/>
              <w:szCs w:val="24"/>
            </w:rPr>
          </w:pPr>
        </w:p>
        <w:p w14:paraId="6CEFFEB0" w14:textId="77777777" w:rsidR="00FC4FA9" w:rsidRPr="0016703E" w:rsidRDefault="00FC4FA9" w:rsidP="0016703E">
          <w:pPr>
            <w:spacing w:after="0" w:line="240" w:lineRule="auto"/>
            <w:rPr>
              <w:rFonts w:ascii="Century Gothic" w:eastAsia="Arial" w:hAnsi="Century Gothic" w:cs="Arial"/>
              <w:b/>
              <w:sz w:val="24"/>
              <w:szCs w:val="24"/>
            </w:rPr>
          </w:pPr>
        </w:p>
        <w:p w14:paraId="4E0A8997" w14:textId="16158FE2" w:rsidR="00F2150C" w:rsidRPr="0016703E" w:rsidRDefault="00F2150C" w:rsidP="0016703E">
          <w:pPr>
            <w:spacing w:after="0" w:line="240" w:lineRule="auto"/>
            <w:rPr>
              <w:rFonts w:ascii="Century Gothic" w:eastAsia="Arial" w:hAnsi="Century Gothic" w:cs="Arial"/>
              <w:b/>
              <w:sz w:val="24"/>
              <w:szCs w:val="24"/>
            </w:rPr>
          </w:pPr>
        </w:p>
        <w:p w14:paraId="054D562D" w14:textId="6E5164C1" w:rsidR="00FC4FA9" w:rsidRPr="0016703E" w:rsidRDefault="000505ED" w:rsidP="0016703E">
          <w:pPr>
            <w:spacing w:after="0" w:line="240" w:lineRule="auto"/>
            <w:rPr>
              <w:rFonts w:ascii="Century Gothic" w:eastAsia="Arial" w:hAnsi="Century Gothic" w:cs="Arial"/>
              <w:b/>
              <w:sz w:val="24"/>
              <w:szCs w:val="24"/>
            </w:rPr>
          </w:pPr>
          <w:r>
            <w:rPr>
              <w:rFonts w:ascii="Century Gothic" w:eastAsia="Arial" w:hAnsi="Century Gothic" w:cs="Arial"/>
              <w:b/>
              <w:noProof/>
              <w:sz w:val="24"/>
              <w:szCs w:val="24"/>
            </w:rPr>
            <mc:AlternateContent>
              <mc:Choice Requires="wps">
                <w:drawing>
                  <wp:anchor distT="0" distB="0" distL="114300" distR="114300" simplePos="0" relativeHeight="251697152" behindDoc="0" locked="0" layoutInCell="1" allowOverlap="1" wp14:anchorId="439344F6" wp14:editId="734CE0E8">
                    <wp:simplePos x="0" y="0"/>
                    <wp:positionH relativeFrom="column">
                      <wp:posOffset>2748915</wp:posOffset>
                    </wp:positionH>
                    <wp:positionV relativeFrom="paragraph">
                      <wp:posOffset>45085</wp:posOffset>
                    </wp:positionV>
                    <wp:extent cx="0" cy="190500"/>
                    <wp:effectExtent l="76200" t="0" r="57150" b="57150"/>
                    <wp:wrapNone/>
                    <wp:docPr id="1293923259" name="Conector recto de flecha 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shape w14:anchorId="0E75EF40" id="Conector recto de flecha 4" o:spid="_x0000_s1026" type="#_x0000_t32" style="position:absolute;margin-left:216.45pt;margin-top:3.55pt;width:0;height:1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" strokecolor="#4579b8 [3044]">
                    <v:stroke endarrow="block"/>
                  </v:shape>
                </w:pict>
              </mc:Fallback>
            </mc:AlternateContent>
          </w:r>
        </w:p>
        <w:p w14:paraId="02EFBA8B" w14:textId="1199C434" w:rsidR="00F2150C" w:rsidRPr="0016703E" w:rsidRDefault="000505ED" w:rsidP="0016703E">
          <w:pPr>
            <w:spacing w:after="0" w:line="240" w:lineRule="auto"/>
            <w:rPr>
              <w:rFonts w:ascii="Century Gothic" w:eastAsia="Arial" w:hAnsi="Century Gothic" w:cs="Arial"/>
              <w:b/>
              <w:sz w:val="24"/>
              <w:szCs w:val="24"/>
            </w:rPr>
          </w:pPr>
          <w:r w:rsidRPr="0016703E">
            <w:rPr>
              <w:rFonts w:ascii="Century Gothic" w:hAnsi="Century Gothic"/>
              <w:noProof/>
              <w:sz w:val="24"/>
              <w:szCs w:val="24"/>
            </w:rPr>
            <mc:AlternateContent>
              <mc:Choice Requires="wps">
                <w:drawing>
                  <wp:anchor distT="0" distB="0" distL="114300" distR="114300" simplePos="0" relativeHeight="251678720" behindDoc="0" locked="0" layoutInCell="1" hidden="0" allowOverlap="1" wp14:anchorId="6F3F1988" wp14:editId="71C09119">
                    <wp:simplePos x="0" y="0"/>
                    <wp:positionH relativeFrom="margin">
                      <wp:posOffset>605790</wp:posOffset>
                    </wp:positionH>
                    <wp:positionV relativeFrom="paragraph">
                      <wp:posOffset>48895</wp:posOffset>
                    </wp:positionV>
                    <wp:extent cx="4800600" cy="2276475"/>
                    <wp:effectExtent l="0" t="0" r="19050" b="28575"/>
                    <wp:wrapNone/>
                    <wp:docPr id="1709465722" name="Rectángulo 1709465722"/>
                    <wp:cNvGraphicFramePr/>
                    <a:graphic xmlns:a="http://schemas.openxmlformats.org/drawingml/2006/main">
                      <a:graphicData uri="http://schemas.microsoft.com/office/word/2010/wordprocessingShape">
                        <wps:wsp>
                          <wps:cNvSpPr/>
                          <wps:spPr>
                            <a:xfrm>
                              <a:off x="0" y="0"/>
                              <a:ext cx="4800600" cy="2276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49BAC0" w14:textId="77777777" w:rsidR="00F2150C" w:rsidRDefault="00D84AD5" w:rsidP="00FC4FA9">
                                <w:pPr>
                                  <w:spacing w:line="240" w:lineRule="auto"/>
                                  <w:textDirection w:val="btLr"/>
                                  <w:rPr>
                                    <w:color w:val="000000"/>
                                  </w:rPr>
                                </w:pPr>
                                <w:r>
                                  <w:rPr>
                                    <w:color w:val="000000"/>
                                  </w:rPr>
                                  <w:t>Tome en cuenta los signos de alarma para el abordaje del paciente</w:t>
                                </w:r>
                              </w:p>
                              <w:p w14:paraId="238E1EDC" w14:textId="77777777" w:rsidR="00FC4FA9" w:rsidRDefault="00FC4FA9" w:rsidP="00FC4FA9">
                                <w:pPr>
                                  <w:pStyle w:val="Sinespaciado"/>
                                </w:pPr>
                                <w:r>
                                  <w:t>Edad 50 años</w:t>
                                </w:r>
                              </w:p>
                              <w:p w14:paraId="1E429FDC" w14:textId="77777777" w:rsidR="00FC4FA9" w:rsidRDefault="00FC4FA9" w:rsidP="00FC4FA9">
                                <w:pPr>
                                  <w:pStyle w:val="Sinespaciado"/>
                                </w:pPr>
                                <w:r>
                                  <w:t>Anorexia</w:t>
                                </w:r>
                              </w:p>
                              <w:p w14:paraId="7CFB8EC3" w14:textId="77777777" w:rsidR="00FC4FA9" w:rsidRDefault="00FC4FA9" w:rsidP="00FC4FA9">
                                <w:pPr>
                                  <w:pStyle w:val="Sinespaciado"/>
                                </w:pPr>
                                <w:r>
                                  <w:t>Perdida involuntaria de peso &gt;5% en tres meses</w:t>
                                </w:r>
                              </w:p>
                              <w:p w14:paraId="59A0D8DB" w14:textId="77777777" w:rsidR="00FC4FA9" w:rsidRDefault="00FC4FA9" w:rsidP="00FC4FA9">
                                <w:pPr>
                                  <w:pStyle w:val="Sinespaciado"/>
                                </w:pPr>
                                <w:r>
                                  <w:t>Estreñimiento reciente en ancianos</w:t>
                                </w:r>
                              </w:p>
                              <w:p w14:paraId="0AAC39E1" w14:textId="77777777" w:rsidR="00FC4FA9" w:rsidRDefault="00FC4FA9" w:rsidP="00FC4FA9">
                                <w:pPr>
                                  <w:pStyle w:val="Sinespaciado"/>
                                </w:pPr>
                                <w:r>
                                  <w:t>Síntomas nocturnos</w:t>
                                </w:r>
                              </w:p>
                              <w:p w14:paraId="0C352AEF" w14:textId="77777777" w:rsidR="00FC4FA9" w:rsidRDefault="00FC4FA9" w:rsidP="00FC4FA9">
                                <w:pPr>
                                  <w:pStyle w:val="Sinespaciado"/>
                                </w:pPr>
                                <w:r>
                                  <w:t>Sangrado rectal</w:t>
                                </w:r>
                              </w:p>
                              <w:p w14:paraId="6EBCBD28" w14:textId="77777777" w:rsidR="00FC4FA9" w:rsidRDefault="00FC4FA9" w:rsidP="00FC4FA9">
                                <w:pPr>
                                  <w:pStyle w:val="Sinespaciado"/>
                                </w:pPr>
                                <w:r>
                                  <w:t>Anemia, leucocitosis</w:t>
                                </w:r>
                              </w:p>
                              <w:p w14:paraId="59B1996C" w14:textId="77777777" w:rsidR="00FC4FA9" w:rsidRDefault="00FC4FA9" w:rsidP="00FC4FA9">
                                <w:pPr>
                                  <w:pStyle w:val="Sinespaciado"/>
                                </w:pPr>
                                <w:r>
                                  <w:t>Masa abdominal</w:t>
                                </w:r>
                              </w:p>
                              <w:p w14:paraId="0D57A1AC" w14:textId="77777777" w:rsidR="00FC4FA9" w:rsidRDefault="00FC4FA9" w:rsidP="00FC4FA9">
                                <w:pPr>
                                  <w:pStyle w:val="Sinespaciado"/>
                                </w:pPr>
                                <w:r>
                                  <w:t>Masa rectal</w:t>
                                </w:r>
                              </w:p>
                              <w:p w14:paraId="75E20A5D" w14:textId="77777777" w:rsidR="00FC4FA9" w:rsidRDefault="00FC4FA9" w:rsidP="00FC4FA9">
                                <w:pPr>
                                  <w:pStyle w:val="Sinespaciado"/>
                                </w:pPr>
                                <w:r>
                                  <w:t>Historia familiar de primer grado</w:t>
                                </w:r>
                              </w:p>
                              <w:p w14:paraId="7BB48B8A" w14:textId="77777777" w:rsidR="00FC4FA9" w:rsidRDefault="00FC4FA9" w:rsidP="00FC4FA9">
                                <w:pPr>
                                  <w:pStyle w:val="Sinespaciado"/>
                                </w:pPr>
                                <w:r>
                                  <w:t>Cáncer de colon o enfermedad inflamatoria intestinal o enfermedad celiaca</w:t>
                                </w:r>
                              </w:p>
                              <w:p w14:paraId="585A33C7" w14:textId="77777777" w:rsidR="00FC4FA9" w:rsidRDefault="00FC4FA9">
                                <w:pPr>
                                  <w:spacing w:line="275" w:lineRule="auto"/>
                                  <w:textDirection w:val="btLr"/>
                                  <w:rPr>
                                    <w:color w:val="000000"/>
                                  </w:rPr>
                                </w:pPr>
                              </w:p>
                              <w:p w14:paraId="178142DF" w14:textId="77777777" w:rsidR="00FC4FA9" w:rsidRDefault="00FC4FA9">
                                <w:pPr>
                                  <w:spacing w:line="275" w:lineRule="auto"/>
                                  <w:textDirection w:val="btLr"/>
                                </w:pPr>
                              </w:p>
                              <w:p w14:paraId="54EF15DD" w14:textId="77777777" w:rsidR="00F2150C" w:rsidRDefault="00F2150C">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6F3F1988" id="Rectángulo 1709465722" o:spid="_x0000_s1035" style="position:absolute;margin-left:47.7pt;margin-top:3.85pt;width:378pt;height:179.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">
                    <v:stroke startarrowwidth="narrow" startarrowlength="short" endarrowwidth="narrow" endarrowlength="short"/>
                    <v:textbox inset="2.53958mm,1.2694mm,2.53958mm,1.2694mm">
                      <w:txbxContent>
                        <w:p w14:paraId="2C49BAC0" w14:textId="77777777" w:rsidR="00F2150C" w:rsidRDefault="00D84AD5" w:rsidP="00FC4FA9">
                          <w:pPr>
                            <w:spacing w:line="240" w:lineRule="auto"/>
                            <w:textDirection w:val="btLr"/>
                            <w:rPr>
                              <w:color w:val="000000"/>
                            </w:rPr>
                          </w:pPr>
                          <w:r>
                            <w:rPr>
                              <w:color w:val="000000"/>
                            </w:rPr>
                            <w:t>Tome en cuenta los signos de alarma para el abordaje del paciente</w:t>
                          </w:r>
                        </w:p>
                        <w:p w14:paraId="238E1EDC" w14:textId="77777777" w:rsidR="00FC4FA9" w:rsidRDefault="00FC4FA9" w:rsidP="00FC4FA9">
                          <w:pPr>
                            <w:pStyle w:val="Sinespaciado"/>
                          </w:pPr>
                          <w:r>
                            <w:t>Edad 50 años</w:t>
                          </w:r>
                        </w:p>
                        <w:p w14:paraId="1E429FDC" w14:textId="77777777" w:rsidR="00FC4FA9" w:rsidRDefault="00FC4FA9" w:rsidP="00FC4FA9">
                          <w:pPr>
                            <w:pStyle w:val="Sinespaciado"/>
                          </w:pPr>
                          <w:r>
                            <w:t>Anorexia</w:t>
                          </w:r>
                        </w:p>
                        <w:p w14:paraId="7CFB8EC3" w14:textId="77777777" w:rsidR="00FC4FA9" w:rsidRDefault="00FC4FA9" w:rsidP="00FC4FA9">
                          <w:pPr>
                            <w:pStyle w:val="Sinespaciado"/>
                          </w:pPr>
                          <w:r>
                            <w:t>Perdida involuntaria de peso &gt;5% en tres meses</w:t>
                          </w:r>
                        </w:p>
                        <w:p w14:paraId="59A0D8DB" w14:textId="77777777" w:rsidR="00FC4FA9" w:rsidRDefault="00FC4FA9" w:rsidP="00FC4FA9">
                          <w:pPr>
                            <w:pStyle w:val="Sinespaciado"/>
                          </w:pPr>
                          <w:r>
                            <w:t>Estreñimiento reciente en ancianos</w:t>
                          </w:r>
                        </w:p>
                        <w:p w14:paraId="0AAC39E1" w14:textId="77777777" w:rsidR="00FC4FA9" w:rsidRDefault="00FC4FA9" w:rsidP="00FC4FA9">
                          <w:pPr>
                            <w:pStyle w:val="Sinespaciado"/>
                          </w:pPr>
                          <w:r>
                            <w:t>Síntomas nocturnos</w:t>
                          </w:r>
                        </w:p>
                        <w:p w14:paraId="0C352AEF" w14:textId="77777777" w:rsidR="00FC4FA9" w:rsidRDefault="00FC4FA9" w:rsidP="00FC4FA9">
                          <w:pPr>
                            <w:pStyle w:val="Sinespaciado"/>
                          </w:pPr>
                          <w:r>
                            <w:t>Sangrado rectal</w:t>
                          </w:r>
                        </w:p>
                        <w:p w14:paraId="6EBCBD28" w14:textId="77777777" w:rsidR="00FC4FA9" w:rsidRDefault="00FC4FA9" w:rsidP="00FC4FA9">
                          <w:pPr>
                            <w:pStyle w:val="Sinespaciado"/>
                          </w:pPr>
                          <w:r>
                            <w:t>Anemia, leucocitosis</w:t>
                          </w:r>
                        </w:p>
                        <w:p w14:paraId="59B1996C" w14:textId="77777777" w:rsidR="00FC4FA9" w:rsidRDefault="00FC4FA9" w:rsidP="00FC4FA9">
                          <w:pPr>
                            <w:pStyle w:val="Sinespaciado"/>
                          </w:pPr>
                          <w:r>
                            <w:t>Masa abdominal</w:t>
                          </w:r>
                        </w:p>
                        <w:p w14:paraId="0D57A1AC" w14:textId="77777777" w:rsidR="00FC4FA9" w:rsidRDefault="00FC4FA9" w:rsidP="00FC4FA9">
                          <w:pPr>
                            <w:pStyle w:val="Sinespaciado"/>
                          </w:pPr>
                          <w:r>
                            <w:t>Masa rectal</w:t>
                          </w:r>
                        </w:p>
                        <w:p w14:paraId="75E20A5D" w14:textId="77777777" w:rsidR="00FC4FA9" w:rsidRDefault="00FC4FA9" w:rsidP="00FC4FA9">
                          <w:pPr>
                            <w:pStyle w:val="Sinespaciado"/>
                          </w:pPr>
                          <w:r>
                            <w:t>Historia familiar de primer grado</w:t>
                          </w:r>
                        </w:p>
                        <w:p w14:paraId="7BB48B8A" w14:textId="77777777" w:rsidR="00FC4FA9" w:rsidRDefault="00FC4FA9" w:rsidP="00FC4FA9">
                          <w:pPr>
                            <w:pStyle w:val="Sinespaciado"/>
                          </w:pPr>
                          <w:r>
                            <w:t>Cáncer de colon o enfermedad inflamatoria intestinal o enfermedad celiaca</w:t>
                          </w:r>
                        </w:p>
                        <w:p w14:paraId="585A33C7" w14:textId="77777777" w:rsidR="00FC4FA9" w:rsidRDefault="00FC4FA9">
                          <w:pPr>
                            <w:spacing w:line="275" w:lineRule="auto"/>
                            <w:textDirection w:val="btLr"/>
                            <w:rPr>
                              <w:color w:val="000000"/>
                            </w:rPr>
                          </w:pPr>
                        </w:p>
                        <w:p w14:paraId="178142DF" w14:textId="77777777" w:rsidR="00FC4FA9" w:rsidRDefault="00FC4FA9">
                          <w:pPr>
                            <w:spacing w:line="275" w:lineRule="auto"/>
                            <w:textDirection w:val="btLr"/>
                          </w:pPr>
                        </w:p>
                        <w:p w14:paraId="54EF15DD" w14:textId="77777777" w:rsidR="00F2150C" w:rsidRDefault="00F2150C">
                          <w:pPr>
                            <w:spacing w:line="275" w:lineRule="auto"/>
                            <w:textDirection w:val="btLr"/>
                          </w:pPr>
                        </w:p>
                      </w:txbxContent>
                    </v:textbox>
                    <w10:wrap anchorx="margin"/>
                  </v:rect>
                </w:pict>
              </mc:Fallback>
            </mc:AlternateContent>
          </w:r>
        </w:p>
        <w:p w14:paraId="41D410D5" w14:textId="77777777" w:rsidR="00F2150C" w:rsidRPr="0016703E" w:rsidRDefault="00F2150C" w:rsidP="0016703E">
          <w:pPr>
            <w:spacing w:after="0" w:line="240" w:lineRule="auto"/>
            <w:rPr>
              <w:rFonts w:ascii="Century Gothic" w:eastAsia="Arial" w:hAnsi="Century Gothic" w:cs="Arial"/>
              <w:b/>
              <w:sz w:val="24"/>
              <w:szCs w:val="24"/>
            </w:rPr>
          </w:pPr>
        </w:p>
        <w:p w14:paraId="7F9686E8" w14:textId="77777777" w:rsidR="00F2150C" w:rsidRPr="0016703E" w:rsidRDefault="00F2150C" w:rsidP="0016703E">
          <w:pPr>
            <w:spacing w:after="0" w:line="240" w:lineRule="auto"/>
            <w:rPr>
              <w:rFonts w:ascii="Century Gothic" w:eastAsia="Arial" w:hAnsi="Century Gothic" w:cs="Arial"/>
              <w:b/>
              <w:sz w:val="24"/>
              <w:szCs w:val="24"/>
            </w:rPr>
          </w:pPr>
        </w:p>
        <w:p w14:paraId="4CC266B8" w14:textId="77777777" w:rsidR="00F2150C" w:rsidRPr="0016703E" w:rsidRDefault="00F2150C" w:rsidP="0016703E">
          <w:pPr>
            <w:spacing w:after="0" w:line="240" w:lineRule="auto"/>
            <w:rPr>
              <w:rFonts w:ascii="Century Gothic" w:eastAsia="Arial" w:hAnsi="Century Gothic" w:cs="Arial"/>
              <w:b/>
              <w:sz w:val="24"/>
              <w:szCs w:val="24"/>
            </w:rPr>
          </w:pPr>
        </w:p>
        <w:p w14:paraId="58EB852C" w14:textId="77777777" w:rsidR="00F2150C" w:rsidRPr="0016703E" w:rsidRDefault="00F2150C" w:rsidP="0016703E">
          <w:pPr>
            <w:spacing w:after="0" w:line="240" w:lineRule="auto"/>
            <w:rPr>
              <w:rFonts w:ascii="Century Gothic" w:eastAsia="Arial" w:hAnsi="Century Gothic" w:cs="Arial"/>
              <w:b/>
              <w:sz w:val="24"/>
              <w:szCs w:val="24"/>
            </w:rPr>
          </w:pPr>
        </w:p>
        <w:p w14:paraId="5E60CB24" w14:textId="77777777" w:rsidR="00F2150C" w:rsidRPr="0016703E" w:rsidRDefault="00F2150C" w:rsidP="0016703E">
          <w:pPr>
            <w:spacing w:after="0" w:line="240" w:lineRule="auto"/>
            <w:rPr>
              <w:rFonts w:ascii="Century Gothic" w:eastAsia="Arial" w:hAnsi="Century Gothic" w:cs="Arial"/>
              <w:b/>
              <w:sz w:val="24"/>
              <w:szCs w:val="24"/>
            </w:rPr>
          </w:pPr>
        </w:p>
        <w:p w14:paraId="425DFBF8" w14:textId="77777777" w:rsidR="00F2150C" w:rsidRPr="0016703E" w:rsidRDefault="00FC4FA9" w:rsidP="0016703E">
          <w:pPr>
            <w:tabs>
              <w:tab w:val="left" w:pos="8070"/>
            </w:tabs>
            <w:spacing w:after="0" w:line="240" w:lineRule="auto"/>
            <w:rPr>
              <w:rFonts w:ascii="Century Gothic" w:eastAsia="Arial" w:hAnsi="Century Gothic" w:cs="Arial"/>
              <w:b/>
              <w:sz w:val="24"/>
              <w:szCs w:val="24"/>
            </w:rPr>
          </w:pPr>
          <w:r w:rsidRPr="0016703E">
            <w:rPr>
              <w:rFonts w:ascii="Century Gothic" w:eastAsia="Arial" w:hAnsi="Century Gothic" w:cs="Arial"/>
              <w:b/>
              <w:sz w:val="24"/>
              <w:szCs w:val="24"/>
            </w:rPr>
            <w:tab/>
          </w:r>
        </w:p>
        <w:p w14:paraId="2A983568" w14:textId="77777777" w:rsidR="00FC4FA9" w:rsidRPr="0016703E" w:rsidRDefault="00FC4FA9" w:rsidP="0016703E">
          <w:pPr>
            <w:tabs>
              <w:tab w:val="left" w:pos="8070"/>
            </w:tabs>
            <w:spacing w:after="0" w:line="240" w:lineRule="auto"/>
            <w:rPr>
              <w:rFonts w:ascii="Century Gothic" w:eastAsia="Arial" w:hAnsi="Century Gothic" w:cs="Arial"/>
              <w:b/>
              <w:sz w:val="24"/>
              <w:szCs w:val="24"/>
            </w:rPr>
          </w:pPr>
        </w:p>
        <w:p w14:paraId="2C45A83B" w14:textId="77777777" w:rsidR="00FC4FA9" w:rsidRPr="0016703E" w:rsidRDefault="00FC4FA9" w:rsidP="0016703E">
          <w:pPr>
            <w:tabs>
              <w:tab w:val="left" w:pos="8070"/>
            </w:tabs>
            <w:spacing w:after="0" w:line="240" w:lineRule="auto"/>
            <w:rPr>
              <w:rFonts w:ascii="Century Gothic" w:eastAsia="Arial" w:hAnsi="Century Gothic" w:cs="Arial"/>
              <w:b/>
              <w:sz w:val="24"/>
              <w:szCs w:val="24"/>
            </w:rPr>
          </w:pPr>
        </w:p>
        <w:p w14:paraId="3278DA4D" w14:textId="77777777" w:rsidR="00F574A1" w:rsidRDefault="00F574A1" w:rsidP="00F574A1">
          <w:pPr>
            <w:tabs>
              <w:tab w:val="left" w:pos="8070"/>
            </w:tabs>
            <w:spacing w:after="0" w:line="240" w:lineRule="auto"/>
            <w:rPr>
              <w:rFonts w:ascii="Century Gothic" w:eastAsia="Arial" w:hAnsi="Century Gothic" w:cs="Arial"/>
              <w:sz w:val="24"/>
              <w:szCs w:val="24"/>
            </w:rPr>
          </w:pPr>
        </w:p>
      </w:sdtContent>
    </w:sdt>
    <w:p w14:paraId="532E27B3" w14:textId="4C67501A" w:rsidR="000505ED" w:rsidRPr="00F574A1" w:rsidRDefault="000505ED" w:rsidP="00F574A1">
      <w:pPr>
        <w:tabs>
          <w:tab w:val="left" w:pos="8070"/>
        </w:tabs>
        <w:spacing w:after="0" w:line="240" w:lineRule="auto"/>
        <w:rPr>
          <w:rFonts w:ascii="Century Gothic" w:eastAsia="Arial" w:hAnsi="Century Gothic" w:cs="Arial"/>
          <w:sz w:val="24"/>
          <w:szCs w:val="24"/>
        </w:rPr>
      </w:pPr>
      <w:r w:rsidRPr="0016703E">
        <w:rPr>
          <w:rFonts w:ascii="Century Gothic" w:eastAsia="Arial" w:hAnsi="Century Gothic" w:cs="Arial"/>
          <w:sz w:val="24"/>
          <w:szCs w:val="24"/>
        </w:rPr>
        <w:t>BIBLIOGRAFÍA</w:t>
      </w:r>
    </w:p>
    <w:p w14:paraId="2CB5D89E" w14:textId="77777777" w:rsidR="000505ED" w:rsidRPr="00620A4E" w:rsidRDefault="000505ED" w:rsidP="000505ED">
      <w:pPr>
        <w:pStyle w:val="Ttulo1"/>
        <w:numPr>
          <w:ilvl w:val="0"/>
          <w:numId w:val="7"/>
        </w:numPr>
        <w:spacing w:before="0" w:beforeAutospacing="0" w:after="0" w:afterAutospacing="0"/>
        <w:rPr>
          <w:rFonts w:ascii="Century Gothic" w:eastAsia="Arial" w:hAnsi="Century Gothic" w:cs="Arial"/>
          <w:b w:val="0"/>
          <w:sz w:val="24"/>
          <w:szCs w:val="24"/>
        </w:rPr>
      </w:pPr>
      <w:r w:rsidRPr="00620A4E">
        <w:rPr>
          <w:rFonts w:ascii="Century Gothic" w:eastAsia="Arial" w:hAnsi="Century Gothic" w:cs="Arial"/>
          <w:b w:val="0"/>
          <w:sz w:val="24"/>
          <w:szCs w:val="24"/>
        </w:rPr>
        <w:t xml:space="preserve">Otero R. W, Otero P. L, Marulanda F. H. Síndrome de intestino irritable (SII): Nuevos conceptos en 2023. Medicina [Internet]. 2022 [citado el 16 de mayo de 2024];44(3):347–71. Disponible en: </w:t>
      </w:r>
      <w:hyperlink r:id="rId13">
        <w:r w:rsidRPr="00620A4E">
          <w:rPr>
            <w:rFonts w:ascii="Century Gothic" w:eastAsia="Arial" w:hAnsi="Century Gothic" w:cs="Arial"/>
            <w:b w:val="0"/>
            <w:sz w:val="24"/>
            <w:szCs w:val="24"/>
          </w:rPr>
          <w:t>https://www.mendeley.com/catalogue/0b44a56a-34d0-3cd4-9067-603d664edc99/</w:t>
        </w:r>
      </w:hyperlink>
    </w:p>
    <w:p w14:paraId="6AFE1748" w14:textId="77777777" w:rsidR="00620A4E" w:rsidRPr="0016703E" w:rsidRDefault="00620A4E" w:rsidP="00620A4E">
      <w:pPr>
        <w:pStyle w:val="Ttulo1"/>
        <w:spacing w:before="0" w:beforeAutospacing="0" w:after="0" w:afterAutospacing="0"/>
        <w:ind w:left="720"/>
        <w:rPr>
          <w:rFonts w:ascii="Century Gothic" w:eastAsia="Arial" w:hAnsi="Century Gothic" w:cs="Arial"/>
          <w:b w:val="0"/>
          <w:sz w:val="24"/>
          <w:szCs w:val="24"/>
        </w:rPr>
      </w:pPr>
    </w:p>
    <w:p w14:paraId="5743F007" w14:textId="43FFCD58" w:rsidR="000505ED"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620A4E">
        <w:rPr>
          <w:rFonts w:ascii="Century Gothic" w:eastAsia="Arial" w:hAnsi="Century Gothic" w:cs="Arial"/>
          <w:sz w:val="24"/>
          <w:szCs w:val="24"/>
        </w:rPr>
        <w:t xml:space="preserve">Mearin F, Ciriza C, Mínguez M, Rey E, Mascort JJ, Peña E, et al. </w:t>
      </w:r>
      <w:r w:rsidRPr="00F574A1">
        <w:rPr>
          <w:rFonts w:ascii="Century Gothic" w:eastAsia="Arial" w:hAnsi="Century Gothic" w:cs="Arial"/>
          <w:sz w:val="24"/>
          <w:szCs w:val="24"/>
          <w:lang w:val="en-US"/>
        </w:rPr>
        <w:t xml:space="preserve">Clinical Practice Guideline: Irritable bowel syndrome with constipation and functional constipation in the adult [Internet]. </w:t>
      </w:r>
      <w:r w:rsidRPr="00620A4E">
        <w:rPr>
          <w:rFonts w:ascii="Century Gothic" w:eastAsia="Arial" w:hAnsi="Century Gothic" w:cs="Arial"/>
          <w:sz w:val="24"/>
          <w:szCs w:val="24"/>
        </w:rPr>
        <w:t xml:space="preserve">Isciii.es. [citado el 16 de mayo de 2024]. Disponible en: </w:t>
      </w:r>
      <w:hyperlink r:id="rId14">
        <w:r w:rsidRPr="00620A4E">
          <w:rPr>
            <w:rFonts w:ascii="Century Gothic" w:eastAsia="Arial" w:hAnsi="Century Gothic" w:cs="Arial"/>
            <w:sz w:val="24"/>
            <w:szCs w:val="24"/>
          </w:rPr>
          <w:t>https://scielo.isciii.es/pdf/diges/v108n6/especial.pdf</w:t>
        </w:r>
      </w:hyperlink>
      <w:r w:rsidR="00620A4E">
        <w:rPr>
          <w:rFonts w:ascii="Century Gothic" w:eastAsia="Arial" w:hAnsi="Century Gothic" w:cs="Arial"/>
          <w:sz w:val="24"/>
          <w:szCs w:val="24"/>
        </w:rPr>
        <w:t>.</w:t>
      </w:r>
    </w:p>
    <w:p w14:paraId="034783F1" w14:textId="77777777" w:rsidR="00620A4E" w:rsidRPr="00620A4E" w:rsidRDefault="00620A4E" w:rsidP="00620A4E">
      <w:pPr>
        <w:pBdr>
          <w:top w:val="nil"/>
          <w:left w:val="nil"/>
          <w:bottom w:val="nil"/>
          <w:right w:val="nil"/>
          <w:between w:val="nil"/>
        </w:pBdr>
        <w:spacing w:after="0" w:line="240" w:lineRule="auto"/>
        <w:jc w:val="both"/>
        <w:rPr>
          <w:rFonts w:ascii="Century Gothic" w:eastAsia="Arial" w:hAnsi="Century Gothic" w:cs="Arial"/>
          <w:sz w:val="24"/>
          <w:szCs w:val="24"/>
        </w:rPr>
      </w:pPr>
    </w:p>
    <w:p w14:paraId="645C1315" w14:textId="5816D5EC" w:rsidR="000505ED" w:rsidRPr="00620A4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620A4E">
        <w:rPr>
          <w:rFonts w:ascii="Century Gothic" w:eastAsia="Arial" w:hAnsi="Century Gothic" w:cs="Arial"/>
          <w:sz w:val="24"/>
          <w:szCs w:val="24"/>
        </w:rPr>
        <w:t xml:space="preserve">Mearin F, Ciriza C, Mínguez M, Rey E, Mascort JJ, Peña E, et al. Guía de práctica clínica. Síndrome del intestino irritable con estreñimiento y estreñimiento funcional en adultos: concepto, diagnóstico y continuidad asistencial (Parte 1). Med Gen Fam [Internet]. 2017;6(1):23–35. Disponible en: </w:t>
      </w:r>
      <w:hyperlink r:id="rId15">
        <w:r w:rsidRPr="00620A4E">
          <w:rPr>
            <w:rFonts w:ascii="Century Gothic" w:eastAsia="Arial" w:hAnsi="Century Gothic" w:cs="Arial"/>
            <w:sz w:val="24"/>
            <w:szCs w:val="24"/>
          </w:rPr>
          <w:t>https://mgyf.org/wp-content/uploads/2017/revistas/v6n1/mgyf_v6n1_2017_005.pdf</w:t>
        </w:r>
      </w:hyperlink>
      <w:r w:rsidR="00620A4E" w:rsidRPr="00620A4E">
        <w:rPr>
          <w:rFonts w:ascii="Century Gothic" w:eastAsia="Arial" w:hAnsi="Century Gothic" w:cs="Arial"/>
          <w:sz w:val="24"/>
          <w:szCs w:val="24"/>
        </w:rPr>
        <w:t>.</w:t>
      </w:r>
    </w:p>
    <w:p w14:paraId="144CAD96" w14:textId="77777777" w:rsidR="00620A4E" w:rsidRPr="0016703E" w:rsidRDefault="00620A4E" w:rsidP="00620A4E">
      <w:pPr>
        <w:pBdr>
          <w:top w:val="nil"/>
          <w:left w:val="nil"/>
          <w:bottom w:val="nil"/>
          <w:right w:val="nil"/>
          <w:between w:val="nil"/>
        </w:pBdr>
        <w:spacing w:after="0" w:line="240" w:lineRule="auto"/>
        <w:jc w:val="both"/>
        <w:rPr>
          <w:rFonts w:ascii="Century Gothic" w:eastAsia="Arial" w:hAnsi="Century Gothic" w:cs="Arial"/>
          <w:sz w:val="24"/>
          <w:szCs w:val="24"/>
        </w:rPr>
      </w:pPr>
    </w:p>
    <w:p w14:paraId="3B5504F7" w14:textId="2522B49E" w:rsidR="000505ED" w:rsidRDefault="000505ED" w:rsidP="000505ED">
      <w:pPr>
        <w:numPr>
          <w:ilvl w:val="0"/>
          <w:numId w:val="7"/>
        </w:numP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Colombia. Guía de práctica clínica en el diagnóstico y tratamiento del Síndrome de intestino irritable en la población adulta. Actualización y recomendaciones. Sociedad Colombiana de Gastroenterología y universidad Nacional d</w:t>
      </w:r>
      <w:r w:rsidRPr="0016703E">
        <w:rPr>
          <w:rFonts w:ascii="Century Gothic" w:eastAsia="Arial" w:hAnsi="Century Gothic" w:cs="Arial"/>
          <w:sz w:val="24"/>
          <w:szCs w:val="24"/>
          <w:highlight w:val="white"/>
        </w:rPr>
        <w:t xml:space="preserve">e Colombia. </w:t>
      </w:r>
      <w:r w:rsidRPr="0016703E">
        <w:rPr>
          <w:rFonts w:ascii="Century Gothic" w:eastAsia="Arial" w:hAnsi="Century Gothic" w:cs="Arial"/>
          <w:sz w:val="24"/>
          <w:szCs w:val="24"/>
        </w:rPr>
        <w:t xml:space="preserve">Bogotá DC, </w:t>
      </w:r>
      <w:r w:rsidR="00620A4E" w:rsidRPr="0016703E">
        <w:rPr>
          <w:rFonts w:ascii="Century Gothic" w:eastAsia="Arial" w:hAnsi="Century Gothic" w:cs="Arial"/>
          <w:sz w:val="24"/>
          <w:szCs w:val="24"/>
        </w:rPr>
        <w:t>agosto</w:t>
      </w:r>
      <w:r w:rsidRPr="0016703E">
        <w:rPr>
          <w:rFonts w:ascii="Century Gothic" w:eastAsia="Arial" w:hAnsi="Century Gothic" w:cs="Arial"/>
          <w:sz w:val="24"/>
          <w:szCs w:val="24"/>
        </w:rPr>
        <w:t xml:space="preserve"> 2021. Alma digital S.A.S</w:t>
      </w:r>
    </w:p>
    <w:p w14:paraId="15BB05F5" w14:textId="77777777" w:rsidR="00620A4E" w:rsidRPr="0016703E" w:rsidRDefault="00620A4E" w:rsidP="00620A4E">
      <w:pPr>
        <w:spacing w:after="0" w:line="240" w:lineRule="auto"/>
        <w:jc w:val="both"/>
        <w:rPr>
          <w:rFonts w:ascii="Century Gothic" w:eastAsia="Arial" w:hAnsi="Century Gothic" w:cs="Arial"/>
          <w:sz w:val="24"/>
          <w:szCs w:val="24"/>
        </w:rPr>
      </w:pPr>
    </w:p>
    <w:p w14:paraId="47AC46A1" w14:textId="77777777" w:rsidR="000505ED" w:rsidRPr="0016703E" w:rsidRDefault="000505ED" w:rsidP="000505ED">
      <w:pPr>
        <w:numPr>
          <w:ilvl w:val="0"/>
          <w:numId w:val="7"/>
        </w:numPr>
        <w:spacing w:after="0" w:line="240" w:lineRule="auto"/>
        <w:rPr>
          <w:rFonts w:ascii="Century Gothic" w:eastAsia="Arial" w:hAnsi="Century Gothic" w:cs="Arial"/>
          <w:sz w:val="24"/>
          <w:szCs w:val="24"/>
        </w:rPr>
      </w:pPr>
      <w:r w:rsidRPr="0016703E">
        <w:rPr>
          <w:rFonts w:ascii="Century Gothic" w:eastAsia="Arial" w:hAnsi="Century Gothic" w:cs="Arial"/>
          <w:sz w:val="24"/>
          <w:szCs w:val="24"/>
        </w:rPr>
        <w:t>Escobar TG, Romo AG. Diagnóstico y manejo integral del SII. Pol. Con. (Edición núm. 84) Vol. 8, No 7 Julio 2023, pp. 923-943</w:t>
      </w:r>
    </w:p>
    <w:p w14:paraId="371E7298" w14:textId="77777777" w:rsidR="000505ED" w:rsidRPr="00620A4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F574A1">
        <w:rPr>
          <w:rFonts w:ascii="Century Gothic" w:eastAsia="Arial" w:hAnsi="Century Gothic" w:cs="Arial"/>
          <w:color w:val="000000"/>
          <w:sz w:val="24"/>
          <w:szCs w:val="24"/>
          <w:lang w:val="en-US"/>
        </w:rPr>
        <w:t xml:space="preserve">Lovell RM, Ford AC. Global prevalence of and risk factors for irritable bowel syndrome: A meta-analysis. </w:t>
      </w:r>
      <w:r w:rsidRPr="0016703E">
        <w:rPr>
          <w:rFonts w:ascii="Century Gothic" w:eastAsia="Arial" w:hAnsi="Century Gothic" w:cs="Arial"/>
          <w:color w:val="000000"/>
          <w:sz w:val="24"/>
          <w:szCs w:val="24"/>
        </w:rPr>
        <w:t xml:space="preserve">Clin Gastroenterol Hepatol [Internet]. 2012;10(7):712-721.e4. Disponible en: </w:t>
      </w:r>
      <w:hyperlink r:id="rId16">
        <w:r w:rsidRPr="00620A4E">
          <w:rPr>
            <w:rFonts w:ascii="Century Gothic" w:eastAsia="Arial" w:hAnsi="Century Gothic" w:cs="Arial"/>
            <w:sz w:val="24"/>
            <w:szCs w:val="24"/>
          </w:rPr>
          <w:t>http://dx.doi.org/10.1016/j.cgh.2012.02.029</w:t>
        </w:r>
      </w:hyperlink>
    </w:p>
    <w:p w14:paraId="7360992B" w14:textId="77777777" w:rsidR="00620A4E" w:rsidRPr="0016703E" w:rsidRDefault="00620A4E" w:rsidP="00620A4E">
      <w:pPr>
        <w:pBdr>
          <w:top w:val="nil"/>
          <w:left w:val="nil"/>
          <w:bottom w:val="nil"/>
          <w:right w:val="nil"/>
          <w:between w:val="nil"/>
        </w:pBdr>
        <w:spacing w:after="0" w:line="240" w:lineRule="auto"/>
        <w:ind w:left="720"/>
        <w:jc w:val="both"/>
        <w:rPr>
          <w:rFonts w:ascii="Century Gothic" w:eastAsia="Arial" w:hAnsi="Century Gothic" w:cs="Arial"/>
          <w:sz w:val="24"/>
          <w:szCs w:val="24"/>
        </w:rPr>
      </w:pPr>
    </w:p>
    <w:p w14:paraId="261EFE79" w14:textId="77777777" w:rsidR="000505ED" w:rsidRPr="0016703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F574A1">
        <w:rPr>
          <w:rFonts w:ascii="Century Gothic" w:eastAsia="Arial" w:hAnsi="Century Gothic" w:cs="Arial"/>
          <w:color w:val="000000"/>
          <w:sz w:val="24"/>
          <w:szCs w:val="24"/>
          <w:lang w:val="en-US"/>
        </w:rPr>
        <w:t xml:space="preserve">Lovell RM, Ford AC. Effect of gender on prevalence of irritable bowel syndrome in the community: Systematic review and meta-analysis. </w:t>
      </w:r>
      <w:r w:rsidRPr="0016703E">
        <w:rPr>
          <w:rFonts w:ascii="Century Gothic" w:eastAsia="Arial" w:hAnsi="Century Gothic" w:cs="Arial"/>
          <w:color w:val="000000"/>
          <w:sz w:val="24"/>
          <w:szCs w:val="24"/>
        </w:rPr>
        <w:t xml:space="preserve">Am </w:t>
      </w:r>
      <w:r w:rsidRPr="0016703E">
        <w:rPr>
          <w:rFonts w:ascii="Century Gothic" w:eastAsia="Arial" w:hAnsi="Century Gothic" w:cs="Arial"/>
          <w:color w:val="000000"/>
          <w:sz w:val="24"/>
          <w:szCs w:val="24"/>
        </w:rPr>
        <w:lastRenderedPageBreak/>
        <w:t xml:space="preserve">J Gastroenterol [Internet]. 2012 [citado el 16 de mayo de 2024];107(7):991–1000. Disponible en: </w:t>
      </w:r>
      <w:hyperlink r:id="rId17">
        <w:r w:rsidRPr="00620A4E">
          <w:rPr>
            <w:rFonts w:ascii="Century Gothic" w:eastAsia="Arial" w:hAnsi="Century Gothic" w:cs="Arial"/>
            <w:sz w:val="24"/>
            <w:szCs w:val="24"/>
          </w:rPr>
          <w:t>https://journals.lww.com/ajg/abstract/2012/07000/effect_of_gender_on_prevalence_of_irritable_bowel.9.aspx</w:t>
        </w:r>
      </w:hyperlink>
    </w:p>
    <w:p w14:paraId="0E1525DA" w14:textId="77777777" w:rsidR="000505ED" w:rsidRPr="00620A4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F574A1">
        <w:rPr>
          <w:rFonts w:ascii="Century Gothic" w:eastAsia="Arial" w:hAnsi="Century Gothic" w:cs="Arial"/>
          <w:color w:val="000000"/>
          <w:sz w:val="24"/>
          <w:szCs w:val="24"/>
          <w:lang w:val="en-US"/>
        </w:rPr>
        <w:t xml:space="preserve">Longstreth GF, Thompson WG, Chey WD, Houghton LA, Mearin F, Spiller RC. </w:t>
      </w:r>
      <w:r w:rsidRPr="0016703E">
        <w:rPr>
          <w:rFonts w:ascii="Century Gothic" w:eastAsia="Arial" w:hAnsi="Century Gothic" w:cs="Arial"/>
          <w:color w:val="000000"/>
          <w:sz w:val="24"/>
          <w:szCs w:val="24"/>
        </w:rPr>
        <w:t xml:space="preserve">Functional bowel disorders. Gastroenterology [Internet]. 2006 </w:t>
      </w:r>
      <w:r w:rsidRPr="00620A4E">
        <w:rPr>
          <w:rFonts w:ascii="Century Gothic" w:eastAsia="Arial" w:hAnsi="Century Gothic" w:cs="Arial"/>
          <w:sz w:val="24"/>
          <w:szCs w:val="24"/>
        </w:rPr>
        <w:t xml:space="preserve">[citado el 21 de mayo de 2024];130(5):1480–91. Disponible en: </w:t>
      </w:r>
      <w:hyperlink r:id="rId18">
        <w:r w:rsidRPr="00620A4E">
          <w:rPr>
            <w:rFonts w:ascii="Century Gothic" w:eastAsia="Arial" w:hAnsi="Century Gothic" w:cs="Arial"/>
            <w:sz w:val="24"/>
            <w:szCs w:val="24"/>
          </w:rPr>
          <w:t>https://pubmed.ncbi.nlm.nih.gov/16678561/</w:t>
        </w:r>
      </w:hyperlink>
    </w:p>
    <w:p w14:paraId="63CF72D0" w14:textId="77777777" w:rsidR="00620A4E" w:rsidRPr="0016703E" w:rsidRDefault="00620A4E" w:rsidP="00620A4E">
      <w:pPr>
        <w:pBdr>
          <w:top w:val="nil"/>
          <w:left w:val="nil"/>
          <w:bottom w:val="nil"/>
          <w:right w:val="nil"/>
          <w:between w:val="nil"/>
        </w:pBdr>
        <w:spacing w:after="0" w:line="240" w:lineRule="auto"/>
        <w:ind w:left="720"/>
        <w:jc w:val="both"/>
        <w:rPr>
          <w:rFonts w:ascii="Century Gothic" w:eastAsia="Arial" w:hAnsi="Century Gothic" w:cs="Arial"/>
          <w:sz w:val="24"/>
          <w:szCs w:val="24"/>
        </w:rPr>
      </w:pPr>
    </w:p>
    <w:p w14:paraId="5C59D105" w14:textId="77777777" w:rsidR="000505ED" w:rsidRPr="00620A4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F574A1">
        <w:rPr>
          <w:rFonts w:ascii="Century Gothic" w:eastAsia="Arial" w:hAnsi="Century Gothic" w:cs="Arial"/>
          <w:sz w:val="24"/>
          <w:szCs w:val="24"/>
          <w:lang w:val="en-US"/>
        </w:rPr>
        <w:t xml:space="preserve">Chey WD, Kurlander J, Eswaran S. Irritable bowel syndrome: A clinical review. </w:t>
      </w:r>
      <w:r w:rsidRPr="0016703E">
        <w:rPr>
          <w:rFonts w:ascii="Century Gothic" w:eastAsia="Arial" w:hAnsi="Century Gothic" w:cs="Arial"/>
          <w:sz w:val="24"/>
          <w:szCs w:val="24"/>
        </w:rPr>
        <w:t xml:space="preserve">JAMA [Internet]. 2015 [citado el 21 de mayo de 2024];313(9):949. Disponible en: </w:t>
      </w:r>
      <w:hyperlink r:id="rId19">
        <w:r w:rsidRPr="00620A4E">
          <w:rPr>
            <w:rFonts w:ascii="Century Gothic" w:eastAsia="Arial" w:hAnsi="Century Gothic" w:cs="Arial"/>
            <w:sz w:val="24"/>
            <w:szCs w:val="24"/>
          </w:rPr>
          <w:t>https://jamanetwork.com/journals/jama/article-abstract/2174034</w:t>
        </w:r>
      </w:hyperlink>
    </w:p>
    <w:p w14:paraId="185817C5" w14:textId="77777777" w:rsidR="00620A4E" w:rsidRPr="0016703E" w:rsidRDefault="00620A4E" w:rsidP="00620A4E">
      <w:pPr>
        <w:pBdr>
          <w:top w:val="nil"/>
          <w:left w:val="nil"/>
          <w:bottom w:val="nil"/>
          <w:right w:val="nil"/>
          <w:between w:val="nil"/>
        </w:pBdr>
        <w:spacing w:after="0" w:line="240" w:lineRule="auto"/>
        <w:jc w:val="both"/>
        <w:rPr>
          <w:rFonts w:ascii="Century Gothic" w:eastAsia="Arial" w:hAnsi="Century Gothic" w:cs="Arial"/>
          <w:sz w:val="24"/>
          <w:szCs w:val="24"/>
        </w:rPr>
      </w:pPr>
    </w:p>
    <w:p w14:paraId="7CB488D3" w14:textId="77777777" w:rsidR="000505ED" w:rsidRPr="00620A4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rPr>
        <w:t xml:space="preserve">Valenzuela J, Alvarado J, Cohen H, Damiao A, Francisconi C, Frugone L, et al. Un consenso latinoamericano sobre el síndrome del intestino irritable. Gastroenterol Hepatol [Internet]. 2004;27(5):325–43. </w:t>
      </w:r>
      <w:r w:rsidRPr="00620A4E">
        <w:rPr>
          <w:rFonts w:ascii="Century Gothic" w:eastAsia="Arial" w:hAnsi="Century Gothic" w:cs="Arial"/>
          <w:sz w:val="24"/>
          <w:szCs w:val="24"/>
        </w:rPr>
        <w:t xml:space="preserve">Disponible en: </w:t>
      </w:r>
      <w:hyperlink r:id="rId20">
        <w:r w:rsidRPr="00620A4E">
          <w:rPr>
            <w:rFonts w:ascii="Century Gothic" w:eastAsia="Arial" w:hAnsi="Century Gothic" w:cs="Arial"/>
            <w:sz w:val="24"/>
            <w:szCs w:val="24"/>
          </w:rPr>
          <w:t>http://dx.doi.org/10.1016/s0210-5705(03)70470-1</w:t>
        </w:r>
      </w:hyperlink>
    </w:p>
    <w:p w14:paraId="7398322D" w14:textId="77777777" w:rsidR="00620A4E" w:rsidRPr="0016703E" w:rsidRDefault="00620A4E" w:rsidP="00620A4E">
      <w:pPr>
        <w:pBdr>
          <w:top w:val="nil"/>
          <w:left w:val="nil"/>
          <w:bottom w:val="nil"/>
          <w:right w:val="nil"/>
          <w:between w:val="nil"/>
        </w:pBdr>
        <w:spacing w:after="0" w:line="240" w:lineRule="auto"/>
        <w:jc w:val="both"/>
        <w:rPr>
          <w:rFonts w:ascii="Century Gothic" w:eastAsia="Arial" w:hAnsi="Century Gothic" w:cs="Arial"/>
          <w:sz w:val="24"/>
          <w:szCs w:val="24"/>
        </w:rPr>
      </w:pPr>
    </w:p>
    <w:p w14:paraId="34F208F4" w14:textId="77777777" w:rsidR="000505ED" w:rsidRPr="00620A4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F574A1">
        <w:rPr>
          <w:rFonts w:ascii="Century Gothic" w:eastAsia="Arial" w:hAnsi="Century Gothic" w:cs="Arial"/>
          <w:sz w:val="24"/>
          <w:szCs w:val="24"/>
          <w:lang w:val="en-US"/>
        </w:rPr>
        <w:t xml:space="preserve">Manning AP, Thompson WG, Heaton KW, Morris AF. Towards positive diagnosis of the irritable bowel. </w:t>
      </w:r>
      <w:r w:rsidRPr="0016703E">
        <w:rPr>
          <w:rFonts w:ascii="Century Gothic" w:eastAsia="Arial" w:hAnsi="Century Gothic" w:cs="Arial"/>
          <w:sz w:val="24"/>
          <w:szCs w:val="24"/>
        </w:rPr>
        <w:t>BMJ [Internet]. 1978;2(6138):653–4. Disp</w:t>
      </w:r>
      <w:r w:rsidRPr="00620A4E">
        <w:rPr>
          <w:rFonts w:ascii="Century Gothic" w:eastAsia="Arial" w:hAnsi="Century Gothic" w:cs="Arial"/>
          <w:sz w:val="24"/>
          <w:szCs w:val="24"/>
        </w:rPr>
        <w:t xml:space="preserve">onible en: </w:t>
      </w:r>
      <w:hyperlink r:id="rId21">
        <w:r w:rsidRPr="00620A4E">
          <w:rPr>
            <w:rFonts w:ascii="Century Gothic" w:eastAsia="Arial" w:hAnsi="Century Gothic" w:cs="Arial"/>
            <w:sz w:val="24"/>
            <w:szCs w:val="24"/>
          </w:rPr>
          <w:t>https://www.bmj.com/content/bmj/2/6138/653.full.pdf</w:t>
        </w:r>
      </w:hyperlink>
    </w:p>
    <w:p w14:paraId="4497CFB9" w14:textId="77777777" w:rsidR="00620A4E" w:rsidRPr="0016703E" w:rsidRDefault="00620A4E" w:rsidP="00620A4E">
      <w:pPr>
        <w:pBdr>
          <w:top w:val="nil"/>
          <w:left w:val="nil"/>
          <w:bottom w:val="nil"/>
          <w:right w:val="nil"/>
          <w:between w:val="nil"/>
        </w:pBdr>
        <w:spacing w:after="0" w:line="240" w:lineRule="auto"/>
        <w:jc w:val="both"/>
        <w:rPr>
          <w:rFonts w:ascii="Century Gothic" w:eastAsia="Arial" w:hAnsi="Century Gothic" w:cs="Arial"/>
          <w:sz w:val="24"/>
          <w:szCs w:val="24"/>
        </w:rPr>
      </w:pPr>
    </w:p>
    <w:p w14:paraId="444E4DAF" w14:textId="77777777" w:rsidR="000505ED" w:rsidRPr="00620A4E" w:rsidRDefault="000505ED" w:rsidP="000505ED">
      <w:pPr>
        <w:numPr>
          <w:ilvl w:val="0"/>
          <w:numId w:val="7"/>
        </w:numPr>
        <w:spacing w:after="0" w:line="240" w:lineRule="auto"/>
        <w:jc w:val="both"/>
        <w:rPr>
          <w:rFonts w:ascii="Century Gothic" w:eastAsia="Arial" w:hAnsi="Century Gothic" w:cs="Arial"/>
          <w:sz w:val="24"/>
          <w:szCs w:val="24"/>
        </w:rPr>
      </w:pPr>
      <w:r w:rsidRPr="00F574A1">
        <w:rPr>
          <w:rFonts w:ascii="Century Gothic" w:eastAsia="Arial" w:hAnsi="Century Gothic" w:cs="Arial"/>
          <w:sz w:val="24"/>
          <w:szCs w:val="24"/>
          <w:lang w:val="en-US"/>
        </w:rPr>
        <w:t xml:space="preserve">Lewis SJ, Heaton KW. Stool form scale as a useful guide to intestinal transit time. </w:t>
      </w:r>
      <w:r w:rsidRPr="0016703E">
        <w:rPr>
          <w:rFonts w:ascii="Century Gothic" w:eastAsia="Arial" w:hAnsi="Century Gothic" w:cs="Arial"/>
          <w:sz w:val="24"/>
          <w:szCs w:val="24"/>
        </w:rPr>
        <w:t>Scand J Gastroenterol [Internet]. 1997;32(9):920–4. D</w:t>
      </w:r>
      <w:r w:rsidRPr="00620A4E">
        <w:rPr>
          <w:rFonts w:ascii="Century Gothic" w:eastAsia="Arial" w:hAnsi="Century Gothic" w:cs="Arial"/>
          <w:sz w:val="24"/>
          <w:szCs w:val="24"/>
        </w:rPr>
        <w:t>isponible en:</w:t>
      </w:r>
      <w:hyperlink r:id="rId22">
        <w:r w:rsidRPr="00620A4E">
          <w:rPr>
            <w:rFonts w:ascii="Century Gothic" w:eastAsia="Arial" w:hAnsi="Century Gothic" w:cs="Arial"/>
            <w:sz w:val="24"/>
            <w:szCs w:val="24"/>
          </w:rPr>
          <w:t xml:space="preserve"> </w:t>
        </w:r>
      </w:hyperlink>
      <w:hyperlink r:id="rId23">
        <w:r w:rsidRPr="00620A4E">
          <w:rPr>
            <w:rFonts w:ascii="Century Gothic" w:eastAsia="Arial" w:hAnsi="Century Gothic" w:cs="Arial"/>
            <w:sz w:val="24"/>
            <w:szCs w:val="24"/>
          </w:rPr>
          <w:t>http://dx.doi.org/10.3109/0036552970901120</w:t>
        </w:r>
      </w:hyperlink>
    </w:p>
    <w:p w14:paraId="5047E3AB" w14:textId="77777777" w:rsidR="00620A4E" w:rsidRPr="0016703E" w:rsidRDefault="00620A4E" w:rsidP="00620A4E">
      <w:pPr>
        <w:spacing w:after="0" w:line="240" w:lineRule="auto"/>
        <w:jc w:val="both"/>
        <w:rPr>
          <w:rFonts w:ascii="Century Gothic" w:eastAsia="Arial" w:hAnsi="Century Gothic" w:cs="Arial"/>
          <w:sz w:val="24"/>
          <w:szCs w:val="24"/>
        </w:rPr>
      </w:pPr>
    </w:p>
    <w:p w14:paraId="0B0712A3" w14:textId="77777777" w:rsidR="000505ED" w:rsidRPr="00620A4E" w:rsidRDefault="000505ED" w:rsidP="000505ED">
      <w:pPr>
        <w:numPr>
          <w:ilvl w:val="0"/>
          <w:numId w:val="7"/>
        </w:numPr>
        <w:spacing w:after="0" w:line="240" w:lineRule="auto"/>
        <w:jc w:val="both"/>
        <w:rPr>
          <w:rFonts w:ascii="Century Gothic" w:eastAsia="Arial" w:hAnsi="Century Gothic" w:cs="Arial"/>
          <w:sz w:val="24"/>
          <w:szCs w:val="24"/>
        </w:rPr>
      </w:pPr>
      <w:r w:rsidRPr="00F574A1">
        <w:rPr>
          <w:rFonts w:ascii="Century Gothic" w:eastAsia="Arial" w:hAnsi="Century Gothic" w:cs="Arial"/>
          <w:sz w:val="24"/>
          <w:szCs w:val="24"/>
          <w:highlight w:val="white"/>
          <w:lang w:val="en-US"/>
        </w:rPr>
        <w:t xml:space="preserve">Francis CY, Morris J, Whorwell PJ. The irritable bowel severity scoring system: a simple method of monitoring irritable bowel syndrome and its progress. </w:t>
      </w:r>
      <w:r w:rsidRPr="0016703E">
        <w:rPr>
          <w:rFonts w:ascii="Century Gothic" w:eastAsia="Arial" w:hAnsi="Century Gothic" w:cs="Arial"/>
          <w:sz w:val="24"/>
          <w:szCs w:val="24"/>
          <w:highlight w:val="white"/>
        </w:rPr>
        <w:t xml:space="preserve">Aliment Pharmacol Ther [Internet]. 1997;11(2):395–402. Disponible en: </w:t>
      </w:r>
      <w:hyperlink r:id="rId24">
        <w:r w:rsidRPr="00620A4E">
          <w:rPr>
            <w:rFonts w:ascii="Century Gothic" w:eastAsia="Arial" w:hAnsi="Century Gothic" w:cs="Arial"/>
            <w:sz w:val="24"/>
            <w:szCs w:val="24"/>
            <w:highlight w:val="white"/>
          </w:rPr>
          <w:t>http://dx.doi.org/10.1046/j.1365-2036.1997.142318000.x</w:t>
        </w:r>
      </w:hyperlink>
    </w:p>
    <w:p w14:paraId="7888EFEA" w14:textId="77777777" w:rsidR="00620A4E" w:rsidRPr="0016703E" w:rsidRDefault="00620A4E" w:rsidP="00620A4E">
      <w:pPr>
        <w:spacing w:after="0" w:line="240" w:lineRule="auto"/>
        <w:jc w:val="both"/>
        <w:rPr>
          <w:rFonts w:ascii="Century Gothic" w:eastAsia="Arial" w:hAnsi="Century Gothic" w:cs="Arial"/>
          <w:sz w:val="24"/>
          <w:szCs w:val="24"/>
        </w:rPr>
      </w:pPr>
    </w:p>
    <w:p w14:paraId="2962A573" w14:textId="77777777" w:rsidR="000505ED" w:rsidRPr="00620A4E" w:rsidRDefault="000505ED" w:rsidP="000505ED">
      <w:pPr>
        <w:numPr>
          <w:ilvl w:val="0"/>
          <w:numId w:val="7"/>
        </w:numPr>
        <w:spacing w:after="0" w:line="240" w:lineRule="auto"/>
        <w:jc w:val="both"/>
        <w:rPr>
          <w:rFonts w:ascii="Century Gothic" w:eastAsia="Arial" w:hAnsi="Century Gothic" w:cs="Arial"/>
          <w:sz w:val="24"/>
          <w:szCs w:val="24"/>
          <w:highlight w:val="white"/>
        </w:rPr>
      </w:pPr>
      <w:r w:rsidRPr="00F574A1">
        <w:rPr>
          <w:rFonts w:ascii="Century Gothic" w:eastAsia="Arial" w:hAnsi="Century Gothic" w:cs="Arial"/>
          <w:sz w:val="24"/>
          <w:szCs w:val="24"/>
          <w:highlight w:val="white"/>
          <w:lang w:val="en-US"/>
        </w:rPr>
        <w:t xml:space="preserve">Almansa C, García-Sánchez R, Barceló M, Díaz-Rubio M, Rey E. Translation, cultural adaptation and validation of a Spanish version of the Irritable Bowel Syndrome Severity Score. </w:t>
      </w:r>
      <w:r w:rsidRPr="0016703E">
        <w:rPr>
          <w:rFonts w:ascii="Century Gothic" w:eastAsia="Arial" w:hAnsi="Century Gothic" w:cs="Arial"/>
          <w:sz w:val="24"/>
          <w:szCs w:val="24"/>
          <w:highlight w:val="white"/>
        </w:rPr>
        <w:t xml:space="preserve">Rev Esp Enferm Dig [Internet]. 2011 [citado el 22 de mayo de 2024];103(12):612–8. Disponible en: </w:t>
      </w:r>
      <w:hyperlink r:id="rId25">
        <w:r w:rsidRPr="00620A4E">
          <w:rPr>
            <w:rFonts w:ascii="Century Gothic" w:eastAsia="Arial" w:hAnsi="Century Gothic" w:cs="Arial"/>
            <w:sz w:val="24"/>
            <w:szCs w:val="24"/>
            <w:highlight w:val="white"/>
          </w:rPr>
          <w:t>https://scielo.isciii.es/scielo.php?script=sci_arttext&amp;pid=S1130-01082011001200002&amp;lng=en&amp;nrm=iso&amp;tlng=en</w:t>
        </w:r>
      </w:hyperlink>
    </w:p>
    <w:p w14:paraId="356A26F1" w14:textId="77777777" w:rsidR="00620A4E" w:rsidRPr="0016703E" w:rsidRDefault="00620A4E" w:rsidP="00620A4E">
      <w:pPr>
        <w:spacing w:after="0" w:line="240" w:lineRule="auto"/>
        <w:jc w:val="both"/>
        <w:rPr>
          <w:rFonts w:ascii="Century Gothic" w:eastAsia="Arial" w:hAnsi="Century Gothic" w:cs="Arial"/>
          <w:sz w:val="24"/>
          <w:szCs w:val="24"/>
          <w:highlight w:val="white"/>
        </w:rPr>
      </w:pPr>
    </w:p>
    <w:p w14:paraId="4871E306" w14:textId="77777777" w:rsidR="000505ED" w:rsidRPr="00620A4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F574A1">
        <w:rPr>
          <w:rFonts w:ascii="Century Gothic" w:eastAsia="Arial" w:hAnsi="Century Gothic" w:cs="Arial"/>
          <w:sz w:val="24"/>
          <w:szCs w:val="24"/>
          <w:highlight w:val="white"/>
          <w:lang w:val="en-US"/>
        </w:rPr>
        <w:t>Blake MR, Raker JM, Whelan K. Validity and reliability of the Bristol Stool Form Scale in healthy adults and patients with diarrhoea</w:t>
      </w:r>
      <w:r w:rsidRPr="00F574A1">
        <w:rPr>
          <w:rFonts w:ascii="Cambria Math" w:eastAsia="Arial" w:hAnsi="Cambria Math" w:cs="Cambria Math"/>
          <w:sz w:val="24"/>
          <w:szCs w:val="24"/>
          <w:highlight w:val="white"/>
          <w:lang w:val="en-US"/>
        </w:rPr>
        <w:t>‐</w:t>
      </w:r>
      <w:r w:rsidRPr="00F574A1">
        <w:rPr>
          <w:rFonts w:ascii="Century Gothic" w:eastAsia="Arial" w:hAnsi="Century Gothic" w:cs="Arial"/>
          <w:sz w:val="24"/>
          <w:szCs w:val="24"/>
          <w:highlight w:val="white"/>
          <w:lang w:val="en-US"/>
        </w:rPr>
        <w:t xml:space="preserve">predominant irritable bowel syndrome. </w:t>
      </w:r>
      <w:r w:rsidRPr="0016703E">
        <w:rPr>
          <w:rFonts w:ascii="Century Gothic" w:eastAsia="Arial" w:hAnsi="Century Gothic" w:cs="Arial"/>
          <w:sz w:val="24"/>
          <w:szCs w:val="24"/>
          <w:highlight w:val="white"/>
        </w:rPr>
        <w:t>Aliment Pharmacol Ther [Internet]. 2016;44(7):693</w:t>
      </w:r>
      <w:r w:rsidRPr="0016703E">
        <w:rPr>
          <w:rFonts w:ascii="Century Gothic" w:eastAsia="Arial" w:hAnsi="Century Gothic" w:cs="Century Gothic"/>
          <w:sz w:val="24"/>
          <w:szCs w:val="24"/>
          <w:highlight w:val="white"/>
        </w:rPr>
        <w:t>–</w:t>
      </w:r>
      <w:r w:rsidRPr="0016703E">
        <w:rPr>
          <w:rFonts w:ascii="Century Gothic" w:eastAsia="Arial" w:hAnsi="Century Gothic" w:cs="Arial"/>
          <w:sz w:val="24"/>
          <w:szCs w:val="24"/>
          <w:highlight w:val="white"/>
        </w:rPr>
        <w:t>703. Disponible en:</w:t>
      </w:r>
      <w:r w:rsidRPr="008B401B">
        <w:rPr>
          <w:rFonts w:ascii="Century Gothic" w:eastAsia="Arial" w:hAnsi="Century Gothic" w:cs="Arial"/>
          <w:sz w:val="24"/>
          <w:szCs w:val="24"/>
          <w:highlight w:val="white"/>
        </w:rPr>
        <w:t xml:space="preserve"> </w:t>
      </w:r>
      <w:hyperlink r:id="rId26">
        <w:r w:rsidRPr="008B401B">
          <w:rPr>
            <w:rFonts w:ascii="Century Gothic" w:eastAsia="Arial" w:hAnsi="Century Gothic" w:cs="Arial"/>
            <w:sz w:val="24"/>
            <w:szCs w:val="24"/>
            <w:highlight w:val="white"/>
          </w:rPr>
          <w:t>http://dx.doi.org/10.1111/apt.13746</w:t>
        </w:r>
      </w:hyperlink>
    </w:p>
    <w:p w14:paraId="748BDBD6" w14:textId="77777777" w:rsidR="00620A4E" w:rsidRPr="0016703E" w:rsidRDefault="00620A4E" w:rsidP="00620A4E">
      <w:pPr>
        <w:pBdr>
          <w:top w:val="nil"/>
          <w:left w:val="nil"/>
          <w:bottom w:val="nil"/>
          <w:right w:val="nil"/>
          <w:between w:val="nil"/>
        </w:pBdr>
        <w:spacing w:after="0" w:line="240" w:lineRule="auto"/>
        <w:jc w:val="both"/>
        <w:rPr>
          <w:rFonts w:ascii="Century Gothic" w:eastAsia="Arial" w:hAnsi="Century Gothic" w:cs="Arial"/>
          <w:sz w:val="24"/>
          <w:szCs w:val="24"/>
        </w:rPr>
      </w:pPr>
    </w:p>
    <w:p w14:paraId="541F4A80" w14:textId="77777777" w:rsidR="000505ED" w:rsidRPr="00620A4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highlight w:val="white"/>
        </w:rPr>
      </w:pPr>
      <w:r w:rsidRPr="00F574A1">
        <w:rPr>
          <w:rFonts w:ascii="Century Gothic" w:eastAsia="Arial" w:hAnsi="Century Gothic" w:cs="Arial"/>
          <w:sz w:val="24"/>
          <w:szCs w:val="24"/>
          <w:highlight w:val="white"/>
          <w:lang w:val="en-US"/>
        </w:rPr>
        <w:t xml:space="preserve">Johanson JF, Kralstein J. Chronic constipation: a survey of the patient perspective. </w:t>
      </w:r>
      <w:r w:rsidRPr="0016703E">
        <w:rPr>
          <w:rFonts w:ascii="Century Gothic" w:eastAsia="Arial" w:hAnsi="Century Gothic" w:cs="Arial"/>
          <w:sz w:val="24"/>
          <w:szCs w:val="24"/>
          <w:highlight w:val="white"/>
        </w:rPr>
        <w:t>Aliment Pharmacol Ther [Internet]. 2007;25(5):599–608. Disponible en:</w:t>
      </w:r>
      <w:r w:rsidRPr="008B401B">
        <w:rPr>
          <w:rFonts w:ascii="Century Gothic" w:eastAsia="Arial" w:hAnsi="Century Gothic" w:cs="Arial"/>
          <w:sz w:val="24"/>
          <w:szCs w:val="24"/>
          <w:highlight w:val="white"/>
        </w:rPr>
        <w:t xml:space="preserve"> </w:t>
      </w:r>
      <w:hyperlink r:id="rId27">
        <w:r w:rsidRPr="008B401B">
          <w:rPr>
            <w:rFonts w:ascii="Century Gothic" w:eastAsia="Arial" w:hAnsi="Century Gothic" w:cs="Arial"/>
            <w:sz w:val="24"/>
            <w:szCs w:val="24"/>
            <w:highlight w:val="white"/>
          </w:rPr>
          <w:t>http://dx.doi.org/10.1111/j.1365-2036.2006.03238.x</w:t>
        </w:r>
      </w:hyperlink>
    </w:p>
    <w:p w14:paraId="10BCFCFC" w14:textId="77777777" w:rsidR="00620A4E" w:rsidRPr="0016703E" w:rsidRDefault="00620A4E" w:rsidP="00620A4E">
      <w:pPr>
        <w:pBdr>
          <w:top w:val="nil"/>
          <w:left w:val="nil"/>
          <w:bottom w:val="nil"/>
          <w:right w:val="nil"/>
          <w:between w:val="nil"/>
        </w:pBdr>
        <w:spacing w:after="0" w:line="240" w:lineRule="auto"/>
        <w:ind w:left="720"/>
        <w:jc w:val="both"/>
        <w:rPr>
          <w:rFonts w:ascii="Century Gothic" w:eastAsia="Arial" w:hAnsi="Century Gothic" w:cs="Arial"/>
          <w:sz w:val="24"/>
          <w:szCs w:val="24"/>
          <w:highlight w:val="white"/>
        </w:rPr>
      </w:pPr>
    </w:p>
    <w:p w14:paraId="4F79EADD" w14:textId="77777777" w:rsidR="000505ED" w:rsidRPr="00620A4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highlight w:val="white"/>
        </w:rPr>
        <w:t xml:space="preserve">Pontet Y, Olano C. Prevalencia de síndrome de intestino irritable en América Latina. Rev Gastroenterol Peru [Internet]. 2021 [citado el 22 de mayo de 2024];41(3):144. Disponible en: </w:t>
      </w:r>
      <w:hyperlink r:id="rId28">
        <w:r w:rsidRPr="008B401B">
          <w:rPr>
            <w:rFonts w:ascii="Century Gothic" w:eastAsia="Arial" w:hAnsi="Century Gothic" w:cs="Arial"/>
            <w:sz w:val="24"/>
            <w:szCs w:val="24"/>
            <w:highlight w:val="white"/>
          </w:rPr>
          <w:t>http://www.scielo.org.pe/scielo.php?script=sci_arttext&amp;pid=S1022-51292021000300144</w:t>
        </w:r>
      </w:hyperlink>
    </w:p>
    <w:p w14:paraId="2A215BD8" w14:textId="77777777" w:rsidR="00620A4E" w:rsidRPr="0016703E" w:rsidRDefault="00620A4E" w:rsidP="00620A4E">
      <w:pPr>
        <w:pBdr>
          <w:top w:val="nil"/>
          <w:left w:val="nil"/>
          <w:bottom w:val="nil"/>
          <w:right w:val="nil"/>
          <w:between w:val="nil"/>
        </w:pBdr>
        <w:spacing w:after="0" w:line="240" w:lineRule="auto"/>
        <w:jc w:val="both"/>
        <w:rPr>
          <w:rFonts w:ascii="Century Gothic" w:eastAsia="Arial" w:hAnsi="Century Gothic" w:cs="Arial"/>
          <w:sz w:val="24"/>
          <w:szCs w:val="24"/>
        </w:rPr>
      </w:pPr>
    </w:p>
    <w:p w14:paraId="1333FC60" w14:textId="77777777" w:rsidR="000505ED" w:rsidRPr="008B401B"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F574A1">
        <w:rPr>
          <w:rFonts w:ascii="Century Gothic" w:eastAsia="Arial" w:hAnsi="Century Gothic" w:cs="Arial"/>
          <w:sz w:val="24"/>
          <w:szCs w:val="24"/>
          <w:highlight w:val="white"/>
          <w:lang w:val="en-US"/>
        </w:rPr>
        <w:t xml:space="preserve">Simren M, Palsson OS, Whitehead WE. Update on Rome IV criteria for colorectal disorders: Implications for clinical practice. </w:t>
      </w:r>
      <w:r w:rsidRPr="0016703E">
        <w:rPr>
          <w:rFonts w:ascii="Century Gothic" w:eastAsia="Arial" w:hAnsi="Century Gothic" w:cs="Arial"/>
          <w:sz w:val="24"/>
          <w:szCs w:val="24"/>
          <w:highlight w:val="white"/>
        </w:rPr>
        <w:t xml:space="preserve">Curr Gastroenterol Rep [Internet]. 2017 [citado el 22 de mayo de 2024];19(4). Disponible en: </w:t>
      </w:r>
      <w:hyperlink r:id="rId29">
        <w:r w:rsidRPr="008B401B">
          <w:rPr>
            <w:rFonts w:ascii="Century Gothic" w:eastAsia="Arial" w:hAnsi="Century Gothic" w:cs="Arial"/>
            <w:sz w:val="24"/>
            <w:szCs w:val="24"/>
            <w:highlight w:val="white"/>
          </w:rPr>
          <w:t>https://pubmed.ncbi.nlm.nih.gov/28374308/</w:t>
        </w:r>
      </w:hyperlink>
    </w:p>
    <w:p w14:paraId="24876DD2" w14:textId="77777777" w:rsidR="008B401B" w:rsidRPr="0016703E" w:rsidRDefault="008B401B" w:rsidP="008B401B">
      <w:pPr>
        <w:pBdr>
          <w:top w:val="nil"/>
          <w:left w:val="nil"/>
          <w:bottom w:val="nil"/>
          <w:right w:val="nil"/>
          <w:between w:val="nil"/>
        </w:pBdr>
        <w:spacing w:after="0" w:line="240" w:lineRule="auto"/>
        <w:jc w:val="both"/>
        <w:rPr>
          <w:rFonts w:ascii="Century Gothic" w:eastAsia="Arial" w:hAnsi="Century Gothic" w:cs="Arial"/>
          <w:sz w:val="24"/>
          <w:szCs w:val="24"/>
        </w:rPr>
      </w:pPr>
    </w:p>
    <w:p w14:paraId="4C65AB6B" w14:textId="77777777" w:rsidR="000505ED" w:rsidRPr="008B401B"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F574A1">
        <w:rPr>
          <w:rFonts w:ascii="Century Gothic" w:eastAsia="Arial" w:hAnsi="Century Gothic" w:cs="Arial"/>
          <w:sz w:val="24"/>
          <w:szCs w:val="24"/>
          <w:highlight w:val="white"/>
          <w:lang w:val="en-US"/>
        </w:rPr>
        <w:t xml:space="preserve">Lacy BE, Mearin F, Chang L, Chey WD, Lembo AJ, Simren M, et al. </w:t>
      </w:r>
      <w:r w:rsidRPr="0016703E">
        <w:rPr>
          <w:rFonts w:ascii="Century Gothic" w:eastAsia="Arial" w:hAnsi="Century Gothic" w:cs="Arial"/>
          <w:sz w:val="24"/>
          <w:szCs w:val="24"/>
          <w:highlight w:val="white"/>
        </w:rPr>
        <w:t xml:space="preserve">Bowel disorders. Gastroenterology [Internet]. 2016;150(6):1393-1407.e5. Disponible en: </w:t>
      </w:r>
      <w:hyperlink r:id="rId30">
        <w:r w:rsidRPr="008B401B">
          <w:rPr>
            <w:rFonts w:ascii="Century Gothic" w:eastAsia="Arial" w:hAnsi="Century Gothic" w:cs="Arial"/>
            <w:sz w:val="24"/>
            <w:szCs w:val="24"/>
            <w:highlight w:val="white"/>
          </w:rPr>
          <w:t>http://dx.doi.org/10.1053/j.gastro.2016.02.031</w:t>
        </w:r>
      </w:hyperlink>
    </w:p>
    <w:p w14:paraId="702B6FBB" w14:textId="77777777" w:rsidR="008B401B" w:rsidRPr="0016703E" w:rsidRDefault="008B401B" w:rsidP="008B401B">
      <w:pPr>
        <w:pBdr>
          <w:top w:val="nil"/>
          <w:left w:val="nil"/>
          <w:bottom w:val="nil"/>
          <w:right w:val="nil"/>
          <w:between w:val="nil"/>
        </w:pBdr>
        <w:spacing w:after="0" w:line="240" w:lineRule="auto"/>
        <w:jc w:val="both"/>
        <w:rPr>
          <w:rFonts w:ascii="Century Gothic" w:eastAsia="Arial" w:hAnsi="Century Gothic" w:cs="Arial"/>
          <w:sz w:val="24"/>
          <w:szCs w:val="24"/>
        </w:rPr>
      </w:pPr>
    </w:p>
    <w:p w14:paraId="736DF8B7" w14:textId="77777777" w:rsidR="000505ED" w:rsidRPr="008B401B"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F574A1">
        <w:rPr>
          <w:rFonts w:ascii="Century Gothic" w:eastAsia="Arial" w:hAnsi="Century Gothic" w:cs="Arial"/>
          <w:sz w:val="24"/>
          <w:szCs w:val="24"/>
          <w:highlight w:val="white"/>
          <w:lang w:val="en-US"/>
        </w:rPr>
        <w:t xml:space="preserve">Bharucha AE, Wald A, Enck P, Rao S. Functional anorectal disorders. </w:t>
      </w:r>
      <w:r w:rsidRPr="0016703E">
        <w:rPr>
          <w:rFonts w:ascii="Century Gothic" w:eastAsia="Arial" w:hAnsi="Century Gothic" w:cs="Arial"/>
          <w:sz w:val="24"/>
          <w:szCs w:val="24"/>
          <w:highlight w:val="white"/>
        </w:rPr>
        <w:t xml:space="preserve">Gastroenterology [Internet]. 2006;130(5):1510–8. Disponible en: </w:t>
      </w:r>
      <w:hyperlink r:id="rId31">
        <w:r w:rsidRPr="008B401B">
          <w:rPr>
            <w:rFonts w:ascii="Century Gothic" w:eastAsia="Arial" w:hAnsi="Century Gothic" w:cs="Arial"/>
            <w:sz w:val="24"/>
            <w:szCs w:val="24"/>
            <w:highlight w:val="white"/>
          </w:rPr>
          <w:t>http://dx.doi.org/10.1053/j.gastro.2005.11.064</w:t>
        </w:r>
      </w:hyperlink>
    </w:p>
    <w:p w14:paraId="2EB3D6C5" w14:textId="77777777" w:rsidR="008B401B" w:rsidRPr="0016703E" w:rsidRDefault="008B401B" w:rsidP="008B401B">
      <w:pPr>
        <w:pBdr>
          <w:top w:val="nil"/>
          <w:left w:val="nil"/>
          <w:bottom w:val="nil"/>
          <w:right w:val="nil"/>
          <w:between w:val="nil"/>
        </w:pBdr>
        <w:spacing w:after="0" w:line="240" w:lineRule="auto"/>
        <w:jc w:val="both"/>
        <w:rPr>
          <w:rFonts w:ascii="Century Gothic" w:eastAsia="Arial" w:hAnsi="Century Gothic" w:cs="Arial"/>
          <w:sz w:val="24"/>
          <w:szCs w:val="24"/>
        </w:rPr>
      </w:pPr>
    </w:p>
    <w:p w14:paraId="5CEB844F" w14:textId="77777777" w:rsidR="000505ED" w:rsidRPr="008B401B"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highlight w:val="white"/>
        </w:rPr>
      </w:pPr>
      <w:r w:rsidRPr="00F574A1">
        <w:rPr>
          <w:rFonts w:ascii="Century Gothic" w:eastAsia="Arial" w:hAnsi="Century Gothic" w:cs="Arial"/>
          <w:sz w:val="24"/>
          <w:szCs w:val="24"/>
          <w:highlight w:val="white"/>
          <w:lang w:val="en-US"/>
        </w:rPr>
        <w:t xml:space="preserve">Wald A, Bharucha AE, Cosman BC, Whitehead WE. ACG clinical guideline: Management of benign anorectal disorders. </w:t>
      </w:r>
      <w:r w:rsidRPr="0016703E">
        <w:rPr>
          <w:rFonts w:ascii="Century Gothic" w:eastAsia="Arial" w:hAnsi="Century Gothic" w:cs="Arial"/>
          <w:sz w:val="24"/>
          <w:szCs w:val="24"/>
          <w:highlight w:val="white"/>
        </w:rPr>
        <w:t xml:space="preserve">Am J Gastroenterol [Internet]. 2014 [citado el 22 de mayo de 2024];109(8):1141–57. Disponible en: </w:t>
      </w:r>
      <w:hyperlink r:id="rId32">
        <w:r w:rsidRPr="008B401B">
          <w:rPr>
            <w:rFonts w:ascii="Century Gothic" w:eastAsia="Arial" w:hAnsi="Century Gothic" w:cs="Arial"/>
            <w:sz w:val="24"/>
            <w:szCs w:val="24"/>
            <w:highlight w:val="white"/>
          </w:rPr>
          <w:t>https://pubmed.ncbi.nlm.nih.gov/25022811/</w:t>
        </w:r>
      </w:hyperlink>
    </w:p>
    <w:p w14:paraId="1B155FE1" w14:textId="77777777" w:rsidR="008B401B" w:rsidRPr="0016703E" w:rsidRDefault="008B401B" w:rsidP="008B401B">
      <w:pPr>
        <w:pBdr>
          <w:top w:val="nil"/>
          <w:left w:val="nil"/>
          <w:bottom w:val="nil"/>
          <w:right w:val="nil"/>
          <w:between w:val="nil"/>
        </w:pBdr>
        <w:spacing w:after="0" w:line="240" w:lineRule="auto"/>
        <w:jc w:val="both"/>
        <w:rPr>
          <w:rFonts w:ascii="Century Gothic" w:eastAsia="Arial" w:hAnsi="Century Gothic" w:cs="Arial"/>
          <w:sz w:val="24"/>
          <w:szCs w:val="24"/>
          <w:highlight w:val="white"/>
        </w:rPr>
      </w:pPr>
    </w:p>
    <w:p w14:paraId="523FA00B" w14:textId="77777777" w:rsidR="000505ED" w:rsidRPr="008B401B"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highlight w:val="white"/>
        </w:rPr>
      </w:pPr>
      <w:r w:rsidRPr="00F574A1">
        <w:rPr>
          <w:rFonts w:ascii="Century Gothic" w:eastAsia="Arial" w:hAnsi="Century Gothic" w:cs="Arial"/>
          <w:sz w:val="24"/>
          <w:szCs w:val="24"/>
          <w:highlight w:val="white"/>
          <w:lang w:val="en-US"/>
        </w:rPr>
        <w:lastRenderedPageBreak/>
        <w:t xml:space="preserve">Rao SSC, Meduri K. What is necessary to diagnose constipation? Best Pract Res Clin Gastroenterol [Internet]. </w:t>
      </w:r>
      <w:r w:rsidRPr="0016703E">
        <w:rPr>
          <w:rFonts w:ascii="Century Gothic" w:eastAsia="Arial" w:hAnsi="Century Gothic" w:cs="Arial"/>
          <w:sz w:val="24"/>
          <w:szCs w:val="24"/>
          <w:highlight w:val="white"/>
        </w:rPr>
        <w:t xml:space="preserve">2011;25(1):127–40. Disponible en: </w:t>
      </w:r>
      <w:hyperlink r:id="rId33">
        <w:r w:rsidRPr="008B401B">
          <w:rPr>
            <w:rFonts w:ascii="Century Gothic" w:eastAsia="Arial" w:hAnsi="Century Gothic" w:cs="Arial"/>
            <w:sz w:val="24"/>
            <w:szCs w:val="24"/>
            <w:highlight w:val="white"/>
          </w:rPr>
          <w:t>http://dx.doi.org/10.1016/j.bpg.2010.11.001</w:t>
        </w:r>
      </w:hyperlink>
    </w:p>
    <w:p w14:paraId="2CF9F237" w14:textId="77777777" w:rsidR="008B401B" w:rsidRDefault="008B401B" w:rsidP="008B401B">
      <w:pPr>
        <w:pStyle w:val="Prrafodelista"/>
        <w:rPr>
          <w:rFonts w:ascii="Century Gothic" w:eastAsia="Arial" w:hAnsi="Century Gothic" w:cs="Arial"/>
          <w:sz w:val="24"/>
          <w:szCs w:val="24"/>
          <w:highlight w:val="white"/>
        </w:rPr>
      </w:pPr>
    </w:p>
    <w:p w14:paraId="09BCD9BE" w14:textId="77777777" w:rsidR="008B401B" w:rsidRPr="0016703E" w:rsidRDefault="008B401B" w:rsidP="008B401B">
      <w:pPr>
        <w:pBdr>
          <w:top w:val="nil"/>
          <w:left w:val="nil"/>
          <w:bottom w:val="nil"/>
          <w:right w:val="nil"/>
          <w:between w:val="nil"/>
        </w:pBdr>
        <w:spacing w:after="0" w:line="240" w:lineRule="auto"/>
        <w:ind w:left="720"/>
        <w:jc w:val="both"/>
        <w:rPr>
          <w:rFonts w:ascii="Century Gothic" w:eastAsia="Arial" w:hAnsi="Century Gothic" w:cs="Arial"/>
          <w:sz w:val="24"/>
          <w:szCs w:val="24"/>
          <w:highlight w:val="white"/>
        </w:rPr>
      </w:pPr>
    </w:p>
    <w:p w14:paraId="6DEB9B90" w14:textId="77777777" w:rsidR="000505ED" w:rsidRPr="008B401B"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color w:val="37393C"/>
          <w:sz w:val="24"/>
          <w:szCs w:val="24"/>
          <w:highlight w:val="white"/>
        </w:rPr>
      </w:pPr>
      <w:r w:rsidRPr="00F574A1">
        <w:rPr>
          <w:rFonts w:ascii="Century Gothic" w:eastAsia="Arial" w:hAnsi="Century Gothic" w:cs="Arial"/>
          <w:sz w:val="24"/>
          <w:szCs w:val="24"/>
          <w:highlight w:val="white"/>
          <w:lang w:val="en-US"/>
        </w:rPr>
        <w:t>Videlock EJ, Lembo A, Cremonini F. Diagnostic testing for dyssynergic defecation in chronic constipation: meta</w:t>
      </w:r>
      <w:r w:rsidRPr="00F574A1">
        <w:rPr>
          <w:rFonts w:ascii="Cambria Math" w:eastAsia="Arial" w:hAnsi="Cambria Math" w:cs="Cambria Math"/>
          <w:sz w:val="24"/>
          <w:szCs w:val="24"/>
          <w:highlight w:val="white"/>
          <w:lang w:val="en-US"/>
        </w:rPr>
        <w:t>‐</w:t>
      </w:r>
      <w:r w:rsidRPr="00F574A1">
        <w:rPr>
          <w:rFonts w:ascii="Century Gothic" w:eastAsia="Arial" w:hAnsi="Century Gothic" w:cs="Arial"/>
          <w:sz w:val="24"/>
          <w:szCs w:val="24"/>
          <w:highlight w:val="white"/>
          <w:lang w:val="en-US"/>
        </w:rPr>
        <w:t xml:space="preserve">analysis. </w:t>
      </w:r>
      <w:r w:rsidRPr="0016703E">
        <w:rPr>
          <w:rFonts w:ascii="Century Gothic" w:eastAsia="Arial" w:hAnsi="Century Gothic" w:cs="Arial"/>
          <w:sz w:val="24"/>
          <w:szCs w:val="24"/>
          <w:highlight w:val="white"/>
        </w:rPr>
        <w:t xml:space="preserve">Neurogastroenterol Motil [Internet]. 2013 [citado el 22 de mayo de 2024];25(6):509. Disponible en: </w:t>
      </w:r>
      <w:hyperlink r:id="rId34">
        <w:r w:rsidRPr="008B401B">
          <w:rPr>
            <w:rFonts w:ascii="Century Gothic" w:eastAsia="Arial" w:hAnsi="Century Gothic" w:cs="Arial"/>
            <w:sz w:val="24"/>
            <w:szCs w:val="24"/>
            <w:highlight w:val="white"/>
          </w:rPr>
          <w:t>https://pubmed.ncbi.nlm.nih.gov/23421551/</w:t>
        </w:r>
      </w:hyperlink>
    </w:p>
    <w:p w14:paraId="779ED8AD" w14:textId="77777777" w:rsidR="008B401B" w:rsidRPr="0016703E" w:rsidRDefault="008B401B" w:rsidP="008B401B">
      <w:pPr>
        <w:pBdr>
          <w:top w:val="nil"/>
          <w:left w:val="nil"/>
          <w:bottom w:val="nil"/>
          <w:right w:val="nil"/>
          <w:between w:val="nil"/>
        </w:pBdr>
        <w:spacing w:after="0" w:line="240" w:lineRule="auto"/>
        <w:ind w:left="720"/>
        <w:jc w:val="both"/>
        <w:rPr>
          <w:rFonts w:ascii="Century Gothic" w:eastAsia="Arial" w:hAnsi="Century Gothic" w:cs="Arial"/>
          <w:color w:val="37393C"/>
          <w:sz w:val="24"/>
          <w:szCs w:val="24"/>
          <w:highlight w:val="white"/>
        </w:rPr>
      </w:pPr>
    </w:p>
    <w:p w14:paraId="02BBCDCA" w14:textId="77777777" w:rsidR="000505ED" w:rsidRPr="008B401B"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16703E">
        <w:rPr>
          <w:rFonts w:ascii="Century Gothic" w:eastAsia="Arial" w:hAnsi="Century Gothic" w:cs="Arial"/>
          <w:sz w:val="24"/>
          <w:szCs w:val="24"/>
          <w:highlight w:val="white"/>
        </w:rPr>
        <w:t xml:space="preserve">Villoria A, Serra J, Azpiroz F, Malagelada J-R. </w:t>
      </w:r>
      <w:r w:rsidRPr="00F574A1">
        <w:rPr>
          <w:rFonts w:ascii="Century Gothic" w:eastAsia="Arial" w:hAnsi="Century Gothic" w:cs="Arial"/>
          <w:sz w:val="24"/>
          <w:szCs w:val="24"/>
          <w:highlight w:val="white"/>
          <w:lang w:val="en-US"/>
        </w:rPr>
        <w:t xml:space="preserve">Physical activity and intestinal gas clearance in patients with bloating. </w:t>
      </w:r>
      <w:r w:rsidRPr="0016703E">
        <w:rPr>
          <w:rFonts w:ascii="Century Gothic" w:eastAsia="Arial" w:hAnsi="Century Gothic" w:cs="Arial"/>
          <w:sz w:val="24"/>
          <w:szCs w:val="24"/>
          <w:highlight w:val="white"/>
        </w:rPr>
        <w:t>Am J Gastroenterol [Internet]. 2006 [citado el 22 de mayo de 2024];101(11):2552–7. Disponible en:</w:t>
      </w:r>
      <w:r w:rsidRPr="008B401B">
        <w:rPr>
          <w:rFonts w:ascii="Century Gothic" w:eastAsia="Arial" w:hAnsi="Century Gothic" w:cs="Arial"/>
          <w:sz w:val="24"/>
          <w:szCs w:val="24"/>
          <w:highlight w:val="white"/>
        </w:rPr>
        <w:t xml:space="preserve"> </w:t>
      </w:r>
      <w:hyperlink r:id="rId35">
        <w:r w:rsidRPr="008B401B">
          <w:rPr>
            <w:rFonts w:ascii="Century Gothic" w:eastAsia="Arial" w:hAnsi="Century Gothic" w:cs="Arial"/>
            <w:sz w:val="24"/>
            <w:szCs w:val="24"/>
            <w:highlight w:val="white"/>
          </w:rPr>
          <w:t>https://pubmed.ncbi.nlm.nih.gov/17029608/</w:t>
        </w:r>
      </w:hyperlink>
    </w:p>
    <w:p w14:paraId="16DE68ED" w14:textId="77777777" w:rsidR="008B401B" w:rsidRPr="0016703E" w:rsidRDefault="008B401B" w:rsidP="008B401B">
      <w:pPr>
        <w:pBdr>
          <w:top w:val="nil"/>
          <w:left w:val="nil"/>
          <w:bottom w:val="nil"/>
          <w:right w:val="nil"/>
          <w:between w:val="nil"/>
        </w:pBdr>
        <w:spacing w:after="0" w:line="240" w:lineRule="auto"/>
        <w:jc w:val="both"/>
        <w:rPr>
          <w:rFonts w:ascii="Century Gothic" w:eastAsia="Arial" w:hAnsi="Century Gothic" w:cs="Arial"/>
          <w:sz w:val="24"/>
          <w:szCs w:val="24"/>
        </w:rPr>
      </w:pPr>
    </w:p>
    <w:p w14:paraId="79D27634" w14:textId="77777777" w:rsidR="000505ED" w:rsidRPr="008B401B"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color w:val="37393C"/>
          <w:sz w:val="24"/>
          <w:szCs w:val="24"/>
          <w:highlight w:val="white"/>
        </w:rPr>
      </w:pPr>
      <w:r w:rsidRPr="00F574A1">
        <w:rPr>
          <w:rFonts w:ascii="Century Gothic" w:eastAsia="Arial" w:hAnsi="Century Gothic" w:cs="Arial"/>
          <w:sz w:val="24"/>
          <w:szCs w:val="24"/>
          <w:highlight w:val="white"/>
          <w:lang w:val="en-US"/>
        </w:rPr>
        <w:t xml:space="preserve">Johannesson E. Intervention to increase physical activity in irritable bowel syndrome shows long-term positive effects. </w:t>
      </w:r>
      <w:r w:rsidRPr="0016703E">
        <w:rPr>
          <w:rFonts w:ascii="Century Gothic" w:eastAsia="Arial" w:hAnsi="Century Gothic" w:cs="Arial"/>
          <w:sz w:val="24"/>
          <w:szCs w:val="24"/>
          <w:highlight w:val="white"/>
        </w:rPr>
        <w:t>World J Gastroenterol [Internet]. 2015 [citado el 22 de mayo de 2024];21(2):600. Disponible en:</w:t>
      </w:r>
      <w:r w:rsidRPr="0016703E">
        <w:rPr>
          <w:rFonts w:ascii="Century Gothic" w:eastAsia="Arial" w:hAnsi="Century Gothic" w:cs="Arial"/>
          <w:color w:val="37393C"/>
          <w:sz w:val="24"/>
          <w:szCs w:val="24"/>
          <w:highlight w:val="white"/>
        </w:rPr>
        <w:t xml:space="preserve"> </w:t>
      </w:r>
      <w:hyperlink r:id="rId36">
        <w:r w:rsidRPr="008B401B">
          <w:rPr>
            <w:rFonts w:ascii="Century Gothic" w:eastAsia="Arial" w:hAnsi="Century Gothic" w:cs="Arial"/>
            <w:sz w:val="24"/>
            <w:szCs w:val="24"/>
            <w:highlight w:val="white"/>
          </w:rPr>
          <w:t>https://www.wjgnet.com/1007-9327/full/v21/i2/600.htm</w:t>
        </w:r>
      </w:hyperlink>
    </w:p>
    <w:p w14:paraId="206B00AC" w14:textId="77777777" w:rsidR="008B401B" w:rsidRPr="0016703E" w:rsidRDefault="008B401B" w:rsidP="008B401B">
      <w:pPr>
        <w:pBdr>
          <w:top w:val="nil"/>
          <w:left w:val="nil"/>
          <w:bottom w:val="nil"/>
          <w:right w:val="nil"/>
          <w:between w:val="nil"/>
        </w:pBdr>
        <w:spacing w:after="0" w:line="240" w:lineRule="auto"/>
        <w:jc w:val="both"/>
        <w:rPr>
          <w:rFonts w:ascii="Century Gothic" w:eastAsia="Arial" w:hAnsi="Century Gothic" w:cs="Arial"/>
          <w:color w:val="37393C"/>
          <w:sz w:val="24"/>
          <w:szCs w:val="24"/>
          <w:highlight w:val="white"/>
        </w:rPr>
      </w:pPr>
    </w:p>
    <w:p w14:paraId="1A0D8F19" w14:textId="77777777" w:rsidR="000505ED" w:rsidRPr="008B401B"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color w:val="37393C"/>
          <w:sz w:val="24"/>
          <w:szCs w:val="24"/>
          <w:highlight w:val="white"/>
        </w:rPr>
      </w:pPr>
      <w:r w:rsidRPr="00F574A1">
        <w:rPr>
          <w:rFonts w:ascii="Century Gothic" w:eastAsia="Arial" w:hAnsi="Century Gothic" w:cs="Arial"/>
          <w:sz w:val="24"/>
          <w:szCs w:val="24"/>
          <w:highlight w:val="white"/>
          <w:lang w:val="en-US"/>
        </w:rPr>
        <w:t xml:space="preserve">Johannesson E, Simrén M, Strid H, Bajor A, Sadik R. Physical activity improves symptoms in irritable bowel syndrome: A randomized controlled trial. </w:t>
      </w:r>
      <w:r w:rsidRPr="0016703E">
        <w:rPr>
          <w:rFonts w:ascii="Century Gothic" w:eastAsia="Arial" w:hAnsi="Century Gothic" w:cs="Arial"/>
          <w:sz w:val="24"/>
          <w:szCs w:val="24"/>
          <w:highlight w:val="white"/>
        </w:rPr>
        <w:t xml:space="preserve">Am J Gastroenterol [Internet]. 2011 [citado el 22 de mayo de 2024];106(5):915–22. Disponible en: </w:t>
      </w:r>
      <w:hyperlink r:id="rId37">
        <w:r w:rsidRPr="008B401B">
          <w:rPr>
            <w:rFonts w:ascii="Century Gothic" w:eastAsia="Arial" w:hAnsi="Century Gothic" w:cs="Arial"/>
            <w:sz w:val="24"/>
            <w:szCs w:val="24"/>
            <w:highlight w:val="white"/>
          </w:rPr>
          <w:t>https://pubmed.ncbi.nlm.nih.gov/21206488/</w:t>
        </w:r>
      </w:hyperlink>
    </w:p>
    <w:p w14:paraId="48FBCB49" w14:textId="77777777" w:rsidR="008B401B" w:rsidRPr="0016703E" w:rsidRDefault="008B401B" w:rsidP="008B401B">
      <w:pPr>
        <w:pBdr>
          <w:top w:val="nil"/>
          <w:left w:val="nil"/>
          <w:bottom w:val="nil"/>
          <w:right w:val="nil"/>
          <w:between w:val="nil"/>
        </w:pBdr>
        <w:spacing w:after="0" w:line="240" w:lineRule="auto"/>
        <w:jc w:val="both"/>
        <w:rPr>
          <w:rFonts w:ascii="Century Gothic" w:eastAsia="Arial" w:hAnsi="Century Gothic" w:cs="Arial"/>
          <w:color w:val="37393C"/>
          <w:sz w:val="24"/>
          <w:szCs w:val="24"/>
          <w:highlight w:val="white"/>
        </w:rPr>
      </w:pPr>
    </w:p>
    <w:p w14:paraId="15377359" w14:textId="77777777" w:rsidR="000505ED" w:rsidRPr="008B401B"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highlight w:val="white"/>
        </w:rPr>
      </w:pPr>
      <w:r w:rsidRPr="00F574A1">
        <w:rPr>
          <w:rFonts w:ascii="Century Gothic" w:eastAsia="Arial" w:hAnsi="Century Gothic" w:cs="Arial"/>
          <w:sz w:val="24"/>
          <w:szCs w:val="24"/>
          <w:highlight w:val="white"/>
          <w:lang w:val="en-US"/>
        </w:rPr>
        <w:t xml:space="preserve">Bove A. Consensus statement AIGO/SICCR: Diagnosis and treatment of chronic constipation and obstructed defecation (part I: Diagnosis). </w:t>
      </w:r>
      <w:r w:rsidRPr="0016703E">
        <w:rPr>
          <w:rFonts w:ascii="Century Gothic" w:eastAsia="Arial" w:hAnsi="Century Gothic" w:cs="Arial"/>
          <w:sz w:val="24"/>
          <w:szCs w:val="24"/>
          <w:highlight w:val="white"/>
        </w:rPr>
        <w:t xml:space="preserve">World J Gastroenterol [Internet]. 2012;18(14):1555. Disponible en: </w:t>
      </w:r>
      <w:hyperlink r:id="rId38">
        <w:r w:rsidRPr="008B401B">
          <w:rPr>
            <w:rFonts w:ascii="Century Gothic" w:eastAsia="Arial" w:hAnsi="Century Gothic" w:cs="Arial"/>
            <w:sz w:val="24"/>
            <w:szCs w:val="24"/>
            <w:highlight w:val="white"/>
          </w:rPr>
          <w:t>http://dx.doi.org/10.3748/wjg.v18.i14.1555</w:t>
        </w:r>
      </w:hyperlink>
    </w:p>
    <w:p w14:paraId="0B50D8D4" w14:textId="77777777" w:rsidR="000505ED" w:rsidRPr="0016703E" w:rsidRDefault="000505ED" w:rsidP="000505ED">
      <w:pPr>
        <w:pBdr>
          <w:top w:val="nil"/>
          <w:left w:val="nil"/>
          <w:bottom w:val="nil"/>
          <w:right w:val="nil"/>
          <w:between w:val="nil"/>
        </w:pBdr>
        <w:spacing w:after="0" w:line="240" w:lineRule="auto"/>
        <w:ind w:left="720"/>
        <w:jc w:val="both"/>
        <w:rPr>
          <w:rFonts w:ascii="Century Gothic" w:eastAsia="Arial" w:hAnsi="Century Gothic" w:cs="Arial"/>
          <w:color w:val="37393C"/>
          <w:sz w:val="24"/>
          <w:szCs w:val="24"/>
          <w:highlight w:val="white"/>
        </w:rPr>
      </w:pPr>
    </w:p>
    <w:p w14:paraId="379AF909" w14:textId="77777777" w:rsidR="000505ED" w:rsidRPr="0016703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color w:val="37393C"/>
          <w:sz w:val="24"/>
          <w:szCs w:val="24"/>
          <w:highlight w:val="white"/>
        </w:rPr>
      </w:pPr>
      <w:r w:rsidRPr="00F574A1">
        <w:rPr>
          <w:rFonts w:ascii="Century Gothic" w:eastAsia="Arial" w:hAnsi="Century Gothic" w:cs="Arial"/>
          <w:sz w:val="24"/>
          <w:szCs w:val="24"/>
          <w:highlight w:val="white"/>
          <w:lang w:val="en-US"/>
        </w:rPr>
        <w:t xml:space="preserve">Ternent CA, Bastawrous AL, Morin NA, Ellis NC, Hyman NH, Buie DW. Practice parameters for the evaluation and management of constipation. </w:t>
      </w:r>
      <w:r w:rsidRPr="0016703E">
        <w:rPr>
          <w:rFonts w:ascii="Century Gothic" w:eastAsia="Arial" w:hAnsi="Century Gothic" w:cs="Arial"/>
          <w:sz w:val="24"/>
          <w:szCs w:val="24"/>
          <w:highlight w:val="white"/>
        </w:rPr>
        <w:t xml:space="preserve">Dis Colon Rectum [Internet]. 2007 [citado el 22 de mayo de 2024];50(12):2013–22. Disponible en: </w:t>
      </w:r>
      <w:hyperlink r:id="rId39">
        <w:r w:rsidRPr="005118D8">
          <w:rPr>
            <w:rFonts w:ascii="Century Gothic" w:eastAsia="Arial" w:hAnsi="Century Gothic" w:cs="Arial"/>
            <w:sz w:val="24"/>
            <w:szCs w:val="24"/>
            <w:highlight w:val="white"/>
          </w:rPr>
          <w:t>https://pubmed.ncbi.nlm.nih.gov/17665250/</w:t>
        </w:r>
      </w:hyperlink>
    </w:p>
    <w:p w14:paraId="4F5094B4" w14:textId="77777777" w:rsidR="000505ED" w:rsidRPr="0016703E" w:rsidRDefault="000505ED" w:rsidP="000505ED">
      <w:pPr>
        <w:pBdr>
          <w:top w:val="nil"/>
          <w:left w:val="nil"/>
          <w:bottom w:val="nil"/>
          <w:right w:val="nil"/>
          <w:between w:val="nil"/>
        </w:pBdr>
        <w:spacing w:after="0" w:line="240" w:lineRule="auto"/>
        <w:ind w:left="720"/>
        <w:jc w:val="both"/>
        <w:rPr>
          <w:rFonts w:ascii="Century Gothic" w:eastAsia="Arial" w:hAnsi="Century Gothic" w:cs="Arial"/>
          <w:color w:val="37393C"/>
          <w:sz w:val="24"/>
          <w:szCs w:val="24"/>
          <w:highlight w:val="white"/>
        </w:rPr>
      </w:pPr>
    </w:p>
    <w:p w14:paraId="61658D56" w14:textId="77777777" w:rsidR="000505ED" w:rsidRPr="0016703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color w:val="37393C"/>
          <w:sz w:val="24"/>
          <w:szCs w:val="24"/>
          <w:highlight w:val="white"/>
        </w:rPr>
      </w:pPr>
      <w:r w:rsidRPr="0016703E">
        <w:rPr>
          <w:rFonts w:ascii="Century Gothic" w:eastAsia="Arial" w:hAnsi="Century Gothic" w:cs="Arial"/>
          <w:sz w:val="24"/>
          <w:szCs w:val="24"/>
          <w:highlight w:val="white"/>
        </w:rPr>
        <w:t xml:space="preserve">Jm RT, Gómez EO, Me IC, Noble LA, López CA, Bielsa MV, et al. </w:t>
      </w:r>
      <w:r w:rsidRPr="00F574A1">
        <w:rPr>
          <w:rFonts w:ascii="Century Gothic" w:eastAsia="Arial" w:hAnsi="Century Gothic" w:cs="Arial"/>
          <w:sz w:val="24"/>
          <w:szCs w:val="24"/>
          <w:highlight w:val="white"/>
          <w:lang w:val="en-US"/>
        </w:rPr>
        <w:t xml:space="preserve">Guidelines for diagnosis and treatment of constipation in Mexico. </w:t>
      </w:r>
      <w:r w:rsidRPr="0016703E">
        <w:rPr>
          <w:rFonts w:ascii="Century Gothic" w:eastAsia="Arial" w:hAnsi="Century Gothic" w:cs="Arial"/>
          <w:sz w:val="24"/>
          <w:szCs w:val="24"/>
          <w:highlight w:val="white"/>
        </w:rPr>
        <w:t xml:space="preserve">C) Medical and surgical treatment. Rev Gastroenterol Mex [Internet]. 2011 [citado el 22 de mayo de 2024];76(2). Disponible en: </w:t>
      </w:r>
      <w:hyperlink r:id="rId40">
        <w:r w:rsidRPr="005118D8">
          <w:rPr>
            <w:rFonts w:ascii="Century Gothic" w:eastAsia="Arial" w:hAnsi="Century Gothic" w:cs="Arial"/>
            <w:sz w:val="24"/>
            <w:szCs w:val="24"/>
            <w:highlight w:val="white"/>
          </w:rPr>
          <w:t>https://pubmed.ncbi.nlm.nih.gov/21724490/</w:t>
        </w:r>
      </w:hyperlink>
    </w:p>
    <w:p w14:paraId="0FEC152E" w14:textId="77777777" w:rsidR="000505ED" w:rsidRPr="0016703E" w:rsidRDefault="000505ED" w:rsidP="000505ED">
      <w:pPr>
        <w:pBdr>
          <w:top w:val="nil"/>
          <w:left w:val="nil"/>
          <w:bottom w:val="nil"/>
          <w:right w:val="nil"/>
          <w:between w:val="nil"/>
        </w:pBdr>
        <w:spacing w:after="0" w:line="240" w:lineRule="auto"/>
        <w:ind w:left="720"/>
        <w:jc w:val="both"/>
        <w:rPr>
          <w:rFonts w:ascii="Century Gothic" w:eastAsia="Arial" w:hAnsi="Century Gothic" w:cs="Arial"/>
          <w:color w:val="37393C"/>
          <w:sz w:val="24"/>
          <w:szCs w:val="24"/>
          <w:highlight w:val="white"/>
        </w:rPr>
      </w:pPr>
    </w:p>
    <w:p w14:paraId="6EF53FA1" w14:textId="77777777" w:rsidR="000505ED" w:rsidRPr="009F68C5"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color w:val="37393C"/>
          <w:sz w:val="24"/>
          <w:szCs w:val="24"/>
          <w:highlight w:val="white"/>
        </w:rPr>
      </w:pPr>
      <w:r w:rsidRPr="0016703E">
        <w:rPr>
          <w:rFonts w:ascii="Century Gothic" w:eastAsia="Arial" w:hAnsi="Century Gothic" w:cs="Arial"/>
          <w:color w:val="37393C"/>
          <w:sz w:val="24"/>
          <w:szCs w:val="24"/>
          <w:highlight w:val="white"/>
        </w:rPr>
        <w:t>C</w:t>
      </w:r>
      <w:r w:rsidRPr="0016703E">
        <w:rPr>
          <w:rFonts w:ascii="Century Gothic" w:eastAsia="Arial" w:hAnsi="Century Gothic" w:cs="Arial"/>
          <w:sz w:val="24"/>
          <w:szCs w:val="24"/>
          <w:highlight w:val="white"/>
        </w:rPr>
        <w:t xml:space="preserve">arroccio A, Mansueto P, Iacono G, Soresi M, D’Alcamo A, Cavataio F, et al. </w:t>
      </w:r>
      <w:r w:rsidRPr="00F574A1">
        <w:rPr>
          <w:rFonts w:ascii="Century Gothic" w:eastAsia="Arial" w:hAnsi="Century Gothic" w:cs="Arial"/>
          <w:sz w:val="24"/>
          <w:szCs w:val="24"/>
          <w:highlight w:val="white"/>
          <w:lang w:val="en-US"/>
        </w:rPr>
        <w:t xml:space="preserve">Non-celiac wheat sensitivity diagnosed by double-blind placebo-controlled challenge: Exploring a new clinical entity. </w:t>
      </w:r>
      <w:r w:rsidRPr="0016703E">
        <w:rPr>
          <w:rFonts w:ascii="Century Gothic" w:eastAsia="Arial" w:hAnsi="Century Gothic" w:cs="Arial"/>
          <w:sz w:val="24"/>
          <w:szCs w:val="24"/>
          <w:highlight w:val="white"/>
        </w:rPr>
        <w:t xml:space="preserve">Am J Gastroenterol [Internet]. 2012 [citado el 22 de mayo de 2024];107(12):1898–906. Disponible en: </w:t>
      </w:r>
      <w:hyperlink r:id="rId41">
        <w:r w:rsidRPr="009F68C5">
          <w:rPr>
            <w:rFonts w:ascii="Century Gothic" w:eastAsia="Arial" w:hAnsi="Century Gothic" w:cs="Arial"/>
            <w:sz w:val="24"/>
            <w:szCs w:val="24"/>
            <w:highlight w:val="white"/>
          </w:rPr>
          <w:t>https://pubmed.ncbi.nlm.nih.gov/22825366/</w:t>
        </w:r>
      </w:hyperlink>
    </w:p>
    <w:p w14:paraId="78ED3AAA" w14:textId="77777777" w:rsidR="009F68C5" w:rsidRPr="0016703E" w:rsidRDefault="009F68C5" w:rsidP="009F68C5">
      <w:pPr>
        <w:pBdr>
          <w:top w:val="nil"/>
          <w:left w:val="nil"/>
          <w:bottom w:val="nil"/>
          <w:right w:val="nil"/>
          <w:between w:val="nil"/>
        </w:pBdr>
        <w:spacing w:after="0" w:line="240" w:lineRule="auto"/>
        <w:jc w:val="both"/>
        <w:rPr>
          <w:rFonts w:ascii="Century Gothic" w:eastAsia="Arial" w:hAnsi="Century Gothic" w:cs="Arial"/>
          <w:color w:val="37393C"/>
          <w:sz w:val="24"/>
          <w:szCs w:val="24"/>
          <w:highlight w:val="white"/>
        </w:rPr>
      </w:pPr>
    </w:p>
    <w:p w14:paraId="5196ECFD" w14:textId="77777777" w:rsidR="000505ED" w:rsidRPr="009F68C5"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color w:val="37393C"/>
          <w:sz w:val="24"/>
          <w:szCs w:val="24"/>
          <w:highlight w:val="white"/>
        </w:rPr>
      </w:pPr>
      <w:r w:rsidRPr="00F574A1">
        <w:rPr>
          <w:rFonts w:ascii="Century Gothic" w:eastAsia="Arial" w:hAnsi="Century Gothic" w:cs="Arial"/>
          <w:sz w:val="24"/>
          <w:szCs w:val="24"/>
          <w:highlight w:val="white"/>
          <w:lang w:val="en-US"/>
        </w:rPr>
        <w:t xml:space="preserve">Biesiekierski JR, Peters SL, Newnham ED, Rosella O, Muir JG, Gibson PR. No effects of gluten in patients with self-reported non-celiac gluten sensitivity after dietary reduction of fermentable, poorly absorbed, short-chain carbohydrates. </w:t>
      </w:r>
      <w:r w:rsidRPr="0016703E">
        <w:rPr>
          <w:rFonts w:ascii="Century Gothic" w:eastAsia="Arial" w:hAnsi="Century Gothic" w:cs="Arial"/>
          <w:sz w:val="24"/>
          <w:szCs w:val="24"/>
          <w:highlight w:val="white"/>
        </w:rPr>
        <w:t xml:space="preserve">Gastroenterology [Internet]. 2013;145(2):320-328.e3. Disponible en: </w:t>
      </w:r>
      <w:hyperlink r:id="rId42">
        <w:r w:rsidRPr="009F68C5">
          <w:rPr>
            <w:rFonts w:ascii="Century Gothic" w:eastAsia="Arial" w:hAnsi="Century Gothic" w:cs="Arial"/>
            <w:sz w:val="24"/>
            <w:szCs w:val="24"/>
            <w:highlight w:val="white"/>
          </w:rPr>
          <w:t>http://dx.doi.org/10.1053/j.gastro.2013.04.051</w:t>
        </w:r>
      </w:hyperlink>
    </w:p>
    <w:p w14:paraId="52117A93" w14:textId="77777777" w:rsidR="009F68C5" w:rsidRPr="0016703E" w:rsidRDefault="009F68C5" w:rsidP="009F68C5">
      <w:pPr>
        <w:pBdr>
          <w:top w:val="nil"/>
          <w:left w:val="nil"/>
          <w:bottom w:val="nil"/>
          <w:right w:val="nil"/>
          <w:between w:val="nil"/>
        </w:pBdr>
        <w:spacing w:after="0" w:line="240" w:lineRule="auto"/>
        <w:jc w:val="both"/>
        <w:rPr>
          <w:rFonts w:ascii="Century Gothic" w:eastAsia="Arial" w:hAnsi="Century Gothic" w:cs="Arial"/>
          <w:color w:val="37393C"/>
          <w:sz w:val="24"/>
          <w:szCs w:val="24"/>
          <w:highlight w:val="white"/>
        </w:rPr>
      </w:pPr>
    </w:p>
    <w:p w14:paraId="260E7629" w14:textId="77777777" w:rsidR="000505ED" w:rsidRPr="009F68C5"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F574A1">
        <w:rPr>
          <w:rFonts w:ascii="Century Gothic" w:eastAsia="Arial" w:hAnsi="Century Gothic" w:cs="Arial"/>
          <w:sz w:val="24"/>
          <w:szCs w:val="24"/>
          <w:highlight w:val="white"/>
          <w:lang w:val="en-US"/>
        </w:rPr>
        <w:t>Awad RA, Camacho S. A randomized, double</w:t>
      </w:r>
      <w:r w:rsidRPr="00F574A1">
        <w:rPr>
          <w:rFonts w:ascii="Cambria Math" w:eastAsia="Arial" w:hAnsi="Cambria Math" w:cs="Cambria Math"/>
          <w:sz w:val="24"/>
          <w:szCs w:val="24"/>
          <w:highlight w:val="white"/>
          <w:lang w:val="en-US"/>
        </w:rPr>
        <w:t>‐</w:t>
      </w:r>
      <w:r w:rsidRPr="00F574A1">
        <w:rPr>
          <w:rFonts w:ascii="Century Gothic" w:eastAsia="Arial" w:hAnsi="Century Gothic" w:cs="Arial"/>
          <w:sz w:val="24"/>
          <w:szCs w:val="24"/>
          <w:highlight w:val="white"/>
          <w:lang w:val="en-US"/>
        </w:rPr>
        <w:t>blind, placebo</w:t>
      </w:r>
      <w:r w:rsidRPr="00F574A1">
        <w:rPr>
          <w:rFonts w:ascii="Cambria Math" w:eastAsia="Arial" w:hAnsi="Cambria Math" w:cs="Cambria Math"/>
          <w:sz w:val="24"/>
          <w:szCs w:val="24"/>
          <w:highlight w:val="white"/>
          <w:lang w:val="en-US"/>
        </w:rPr>
        <w:t>‐</w:t>
      </w:r>
      <w:r w:rsidRPr="00F574A1">
        <w:rPr>
          <w:rFonts w:ascii="Century Gothic" w:eastAsia="Arial" w:hAnsi="Century Gothic" w:cs="Arial"/>
          <w:sz w:val="24"/>
          <w:szCs w:val="24"/>
          <w:highlight w:val="white"/>
          <w:lang w:val="en-US"/>
        </w:rPr>
        <w:t>controlled trial of polyethylene glycol effects on fasting and postprandial rectal sensitivity and symptoms in hypersensitive constipation</w:t>
      </w:r>
      <w:r w:rsidRPr="00F574A1">
        <w:rPr>
          <w:rFonts w:ascii="Cambria Math" w:eastAsia="Arial" w:hAnsi="Cambria Math" w:cs="Cambria Math"/>
          <w:sz w:val="24"/>
          <w:szCs w:val="24"/>
          <w:highlight w:val="white"/>
          <w:lang w:val="en-US"/>
        </w:rPr>
        <w:t>‐</w:t>
      </w:r>
      <w:r w:rsidRPr="00F574A1">
        <w:rPr>
          <w:rFonts w:ascii="Century Gothic" w:eastAsia="Arial" w:hAnsi="Century Gothic" w:cs="Arial"/>
          <w:sz w:val="24"/>
          <w:szCs w:val="24"/>
          <w:highlight w:val="white"/>
          <w:lang w:val="en-US"/>
        </w:rPr>
        <w:t xml:space="preserve">predominant irritable bowel syndrome. </w:t>
      </w:r>
      <w:r w:rsidRPr="0016703E">
        <w:rPr>
          <w:rFonts w:ascii="Century Gothic" w:eastAsia="Arial" w:hAnsi="Century Gothic" w:cs="Arial"/>
          <w:sz w:val="24"/>
          <w:szCs w:val="24"/>
          <w:highlight w:val="white"/>
        </w:rPr>
        <w:t>Colorectal Dis [Internet]. 2010 [citado el 22 de mayo de 2024];12(11):1131</w:t>
      </w:r>
      <w:r w:rsidRPr="0016703E">
        <w:rPr>
          <w:rFonts w:ascii="Century Gothic" w:eastAsia="Arial" w:hAnsi="Century Gothic" w:cs="Century Gothic"/>
          <w:sz w:val="24"/>
          <w:szCs w:val="24"/>
          <w:highlight w:val="white"/>
        </w:rPr>
        <w:t>–</w:t>
      </w:r>
      <w:r w:rsidRPr="0016703E">
        <w:rPr>
          <w:rFonts w:ascii="Century Gothic" w:eastAsia="Arial" w:hAnsi="Century Gothic" w:cs="Arial"/>
          <w:sz w:val="24"/>
          <w:szCs w:val="24"/>
          <w:highlight w:val="white"/>
        </w:rPr>
        <w:t xml:space="preserve">8. Disponible en: </w:t>
      </w:r>
      <w:hyperlink r:id="rId43">
        <w:r w:rsidRPr="009F68C5">
          <w:rPr>
            <w:rFonts w:ascii="Century Gothic" w:eastAsia="Arial" w:hAnsi="Century Gothic" w:cs="Arial"/>
            <w:sz w:val="24"/>
            <w:szCs w:val="24"/>
            <w:highlight w:val="white"/>
          </w:rPr>
          <w:t>https://pubmed.ncbi.nlm.nih.gov/19575740/</w:t>
        </w:r>
      </w:hyperlink>
    </w:p>
    <w:p w14:paraId="6BC3FBF4" w14:textId="77777777" w:rsidR="009F68C5" w:rsidRPr="0016703E" w:rsidRDefault="009F68C5" w:rsidP="009F68C5">
      <w:pPr>
        <w:pBdr>
          <w:top w:val="nil"/>
          <w:left w:val="nil"/>
          <w:bottom w:val="nil"/>
          <w:right w:val="nil"/>
          <w:between w:val="nil"/>
        </w:pBdr>
        <w:spacing w:after="0" w:line="240" w:lineRule="auto"/>
        <w:jc w:val="both"/>
        <w:rPr>
          <w:rFonts w:ascii="Century Gothic" w:eastAsia="Arial" w:hAnsi="Century Gothic" w:cs="Arial"/>
          <w:sz w:val="24"/>
          <w:szCs w:val="24"/>
        </w:rPr>
      </w:pPr>
    </w:p>
    <w:p w14:paraId="13D7CAFB" w14:textId="77777777" w:rsidR="000505ED" w:rsidRPr="009F68C5"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F574A1">
        <w:rPr>
          <w:rFonts w:ascii="Century Gothic" w:eastAsia="Arial" w:hAnsi="Century Gothic" w:cs="Arial"/>
          <w:sz w:val="24"/>
          <w:szCs w:val="24"/>
          <w:lang w:val="en-US"/>
        </w:rPr>
        <w:t xml:space="preserve">Chapman RW, Stanghellini V, Geraint M, Halphen M. Randomized clinical trial: Macrogol/PEG 3350 plus electrolytes for treatment of patients with constipation associated with irritable bowel syndrome. </w:t>
      </w:r>
      <w:r w:rsidRPr="0016703E">
        <w:rPr>
          <w:rFonts w:ascii="Century Gothic" w:eastAsia="Arial" w:hAnsi="Century Gothic" w:cs="Arial"/>
          <w:sz w:val="24"/>
          <w:szCs w:val="24"/>
        </w:rPr>
        <w:t xml:space="preserve">Am J Gastroenterol [Internet]. 2013 [citado el 22 de mayo de 2024];108(9):1508–15. Disponible en: </w:t>
      </w:r>
      <w:hyperlink r:id="rId44">
        <w:r w:rsidRPr="009F68C5">
          <w:rPr>
            <w:rFonts w:ascii="Century Gothic" w:eastAsia="Arial" w:hAnsi="Century Gothic" w:cs="Arial"/>
            <w:sz w:val="24"/>
            <w:szCs w:val="24"/>
          </w:rPr>
          <w:t>https://pubmed.ncbi.nlm.nih.gov/23835436/</w:t>
        </w:r>
      </w:hyperlink>
    </w:p>
    <w:p w14:paraId="24F7BD36" w14:textId="77777777" w:rsidR="009F68C5" w:rsidRPr="0016703E" w:rsidRDefault="009F68C5" w:rsidP="009F68C5">
      <w:pPr>
        <w:pBdr>
          <w:top w:val="nil"/>
          <w:left w:val="nil"/>
          <w:bottom w:val="nil"/>
          <w:right w:val="nil"/>
          <w:between w:val="nil"/>
        </w:pBdr>
        <w:spacing w:after="0" w:line="240" w:lineRule="auto"/>
        <w:jc w:val="both"/>
        <w:rPr>
          <w:rFonts w:ascii="Century Gothic" w:eastAsia="Arial" w:hAnsi="Century Gothic" w:cs="Arial"/>
          <w:sz w:val="24"/>
          <w:szCs w:val="24"/>
        </w:rPr>
      </w:pPr>
    </w:p>
    <w:p w14:paraId="5892A89E" w14:textId="77777777" w:rsidR="000505ED"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F574A1">
        <w:rPr>
          <w:rFonts w:ascii="Century Gothic" w:eastAsia="Arial" w:hAnsi="Century Gothic" w:cs="Arial"/>
          <w:sz w:val="24"/>
          <w:szCs w:val="24"/>
          <w:highlight w:val="white"/>
          <w:lang w:val="en-US"/>
        </w:rPr>
        <w:t xml:space="preserve">Lee-Robichaud H, Thomas K, Morgan J, Nelson RL. Lactulose versus polyethylene glycol for chronic constipation. </w:t>
      </w:r>
      <w:r w:rsidRPr="0016703E">
        <w:rPr>
          <w:rFonts w:ascii="Century Gothic" w:eastAsia="Arial" w:hAnsi="Century Gothic" w:cs="Arial"/>
          <w:sz w:val="24"/>
          <w:szCs w:val="24"/>
          <w:highlight w:val="white"/>
        </w:rPr>
        <w:t xml:space="preserve">Cochrane Libr [Internet]. </w:t>
      </w:r>
      <w:r w:rsidRPr="0016703E">
        <w:rPr>
          <w:rFonts w:ascii="Century Gothic" w:eastAsia="Arial" w:hAnsi="Century Gothic" w:cs="Arial"/>
          <w:sz w:val="24"/>
          <w:szCs w:val="24"/>
          <w:highlight w:val="white"/>
        </w:rPr>
        <w:lastRenderedPageBreak/>
        <w:t xml:space="preserve">2010 [citado el 22 de mayo de 2024];(7). Disponible en: </w:t>
      </w:r>
      <w:hyperlink r:id="rId45">
        <w:r w:rsidRPr="009F68C5">
          <w:rPr>
            <w:rFonts w:ascii="Century Gothic" w:eastAsia="Arial" w:hAnsi="Century Gothic" w:cs="Arial"/>
            <w:sz w:val="24"/>
            <w:szCs w:val="24"/>
            <w:highlight w:val="white"/>
          </w:rPr>
          <w:t>https://pubmed.ncbi.nlm.nih.gov/20614462/</w:t>
        </w:r>
      </w:hyperlink>
    </w:p>
    <w:p w14:paraId="0D81B7A7" w14:textId="77777777" w:rsidR="009F68C5" w:rsidRPr="0016703E" w:rsidRDefault="009F68C5" w:rsidP="009F68C5">
      <w:pPr>
        <w:pBdr>
          <w:top w:val="nil"/>
          <w:left w:val="nil"/>
          <w:bottom w:val="nil"/>
          <w:right w:val="nil"/>
          <w:between w:val="nil"/>
        </w:pBdr>
        <w:spacing w:after="0" w:line="240" w:lineRule="auto"/>
        <w:jc w:val="both"/>
        <w:rPr>
          <w:rFonts w:ascii="Century Gothic" w:eastAsia="Arial" w:hAnsi="Century Gothic" w:cs="Arial"/>
          <w:sz w:val="24"/>
          <w:szCs w:val="24"/>
        </w:rPr>
      </w:pPr>
    </w:p>
    <w:p w14:paraId="0D5BA066" w14:textId="77777777" w:rsidR="000505ED" w:rsidRPr="00F574A1"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highlight w:val="white"/>
          <w:lang w:val="en-US"/>
        </w:rPr>
      </w:pPr>
      <w:r w:rsidRPr="00F574A1">
        <w:rPr>
          <w:rFonts w:ascii="Century Gothic" w:eastAsia="Arial" w:hAnsi="Century Gothic" w:cs="Arial"/>
          <w:sz w:val="24"/>
          <w:szCs w:val="24"/>
          <w:highlight w:val="white"/>
          <w:lang w:val="en-US"/>
        </w:rPr>
        <w:t>Quartero AO, Meiniche-Schmidt V, Muris J, Rubin G, de Wit N. Bulking agents, antispasmodic and antidepressant medication for the treatment of irritable bowel syndrome. En: Quartero AO, editor. Cochrane Database of Systematic Reviews. Chichester, UK: John Wiley &amp; Sons, Ltd; 2005.</w:t>
      </w:r>
    </w:p>
    <w:p w14:paraId="0F252B38" w14:textId="77777777" w:rsidR="000505ED" w:rsidRPr="009F68C5"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F574A1">
        <w:rPr>
          <w:rFonts w:ascii="Century Gothic" w:eastAsia="Arial" w:hAnsi="Century Gothic" w:cs="Arial"/>
          <w:sz w:val="24"/>
          <w:szCs w:val="24"/>
          <w:highlight w:val="white"/>
          <w:lang w:val="en-US"/>
        </w:rPr>
        <w:t xml:space="preserve">Camilleri M, Kerstens R, Rykx A, Vandeplassche L. A placebo-controlled trial of prucalopride for severe chronic constipation. </w:t>
      </w:r>
      <w:r w:rsidRPr="0016703E">
        <w:rPr>
          <w:rFonts w:ascii="Century Gothic" w:eastAsia="Arial" w:hAnsi="Century Gothic" w:cs="Arial"/>
          <w:sz w:val="24"/>
          <w:szCs w:val="24"/>
          <w:highlight w:val="white"/>
        </w:rPr>
        <w:t xml:space="preserve">N Engl J Med [Internet]. 2008;358(22):2344–54. Disponible en: </w:t>
      </w:r>
      <w:hyperlink r:id="rId46">
        <w:r w:rsidRPr="009F68C5">
          <w:rPr>
            <w:rFonts w:ascii="Century Gothic" w:eastAsia="Arial" w:hAnsi="Century Gothic" w:cs="Arial"/>
            <w:sz w:val="24"/>
            <w:szCs w:val="24"/>
            <w:highlight w:val="white"/>
          </w:rPr>
          <w:t>http://dx.doi.org/10.1056/nejmoa0800670</w:t>
        </w:r>
      </w:hyperlink>
    </w:p>
    <w:p w14:paraId="06933E44" w14:textId="77777777" w:rsidR="009F68C5" w:rsidRPr="0016703E" w:rsidRDefault="009F68C5" w:rsidP="009F68C5">
      <w:pPr>
        <w:pBdr>
          <w:top w:val="nil"/>
          <w:left w:val="nil"/>
          <w:bottom w:val="nil"/>
          <w:right w:val="nil"/>
          <w:between w:val="nil"/>
        </w:pBdr>
        <w:spacing w:after="0" w:line="240" w:lineRule="auto"/>
        <w:ind w:left="360"/>
        <w:jc w:val="both"/>
        <w:rPr>
          <w:rFonts w:ascii="Century Gothic" w:eastAsia="Arial" w:hAnsi="Century Gothic" w:cs="Arial"/>
          <w:sz w:val="24"/>
          <w:szCs w:val="24"/>
        </w:rPr>
      </w:pPr>
    </w:p>
    <w:p w14:paraId="1FF7C5BC" w14:textId="77777777" w:rsidR="000505ED" w:rsidRPr="009F68C5"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F574A1">
        <w:rPr>
          <w:rFonts w:ascii="Century Gothic" w:eastAsia="Arial" w:hAnsi="Century Gothic" w:cs="Arial"/>
          <w:sz w:val="24"/>
          <w:szCs w:val="24"/>
          <w:lang w:val="en-US"/>
        </w:rPr>
        <w:t xml:space="preserve">Tack J, van Outryve M, Beyens G, Kerstens R, Vandeplassche L. Prucalopride (Resolor) in the treatment of severe chronic constipation in patients dissatisfied with laxatives. </w:t>
      </w:r>
      <w:r w:rsidRPr="0016703E">
        <w:rPr>
          <w:rFonts w:ascii="Century Gothic" w:eastAsia="Arial" w:hAnsi="Century Gothic" w:cs="Arial"/>
          <w:sz w:val="24"/>
          <w:szCs w:val="24"/>
        </w:rPr>
        <w:t xml:space="preserve">Gut [Internet]. 2009 [citado el 22 de mayo de 2024];58(3):357–65. Disponible en: </w:t>
      </w:r>
      <w:hyperlink r:id="rId47">
        <w:r w:rsidRPr="009F68C5">
          <w:rPr>
            <w:rFonts w:ascii="Century Gothic" w:eastAsia="Arial" w:hAnsi="Century Gothic" w:cs="Arial"/>
            <w:sz w:val="24"/>
            <w:szCs w:val="24"/>
          </w:rPr>
          <w:t>https://pubmed.ncbi.nlm.nih.gov/18987031/</w:t>
        </w:r>
      </w:hyperlink>
    </w:p>
    <w:p w14:paraId="799B2D00" w14:textId="77777777" w:rsidR="009F68C5" w:rsidRPr="0016703E" w:rsidRDefault="009F68C5" w:rsidP="009F68C5">
      <w:pPr>
        <w:pBdr>
          <w:top w:val="nil"/>
          <w:left w:val="nil"/>
          <w:bottom w:val="nil"/>
          <w:right w:val="nil"/>
          <w:between w:val="nil"/>
        </w:pBdr>
        <w:spacing w:after="0" w:line="240" w:lineRule="auto"/>
        <w:jc w:val="both"/>
        <w:rPr>
          <w:rFonts w:ascii="Century Gothic" w:eastAsia="Arial" w:hAnsi="Century Gothic" w:cs="Arial"/>
          <w:sz w:val="24"/>
          <w:szCs w:val="24"/>
        </w:rPr>
      </w:pPr>
    </w:p>
    <w:p w14:paraId="7F696E39" w14:textId="77777777" w:rsidR="000505ED" w:rsidRPr="009F68C5"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F574A1">
        <w:rPr>
          <w:rFonts w:ascii="Century Gothic" w:eastAsia="Arial" w:hAnsi="Century Gothic" w:cs="Arial"/>
          <w:sz w:val="24"/>
          <w:szCs w:val="24"/>
          <w:highlight w:val="white"/>
          <w:lang w:val="en-US"/>
        </w:rPr>
        <w:t>Quigley EMM, Vandeplassche L, Kerstens R, Ausma J. Clinical trial: the efficacy, impact on quality of life, and safety and tolerability of prucalopride in severe chronic constipation – a 12</w:t>
      </w:r>
      <w:r w:rsidRPr="00F574A1">
        <w:rPr>
          <w:rFonts w:ascii="Cambria Math" w:eastAsia="Arial" w:hAnsi="Cambria Math" w:cs="Cambria Math"/>
          <w:sz w:val="24"/>
          <w:szCs w:val="24"/>
          <w:highlight w:val="white"/>
          <w:lang w:val="en-US"/>
        </w:rPr>
        <w:t>‐</w:t>
      </w:r>
      <w:r w:rsidRPr="00F574A1">
        <w:rPr>
          <w:rFonts w:ascii="Century Gothic" w:eastAsia="Arial" w:hAnsi="Century Gothic" w:cs="Arial"/>
          <w:sz w:val="24"/>
          <w:szCs w:val="24"/>
          <w:highlight w:val="white"/>
          <w:lang w:val="en-US"/>
        </w:rPr>
        <w:t>week, randomized, double</w:t>
      </w:r>
      <w:r w:rsidRPr="00F574A1">
        <w:rPr>
          <w:rFonts w:ascii="Cambria Math" w:eastAsia="Arial" w:hAnsi="Cambria Math" w:cs="Cambria Math"/>
          <w:sz w:val="24"/>
          <w:szCs w:val="24"/>
          <w:highlight w:val="white"/>
          <w:lang w:val="en-US"/>
        </w:rPr>
        <w:t>‐</w:t>
      </w:r>
      <w:r w:rsidRPr="00F574A1">
        <w:rPr>
          <w:rFonts w:ascii="Century Gothic" w:eastAsia="Arial" w:hAnsi="Century Gothic" w:cs="Arial"/>
          <w:sz w:val="24"/>
          <w:szCs w:val="24"/>
          <w:highlight w:val="white"/>
          <w:lang w:val="en-US"/>
        </w:rPr>
        <w:t>blind, placebo</w:t>
      </w:r>
      <w:r w:rsidRPr="00F574A1">
        <w:rPr>
          <w:rFonts w:ascii="Cambria Math" w:eastAsia="Arial" w:hAnsi="Cambria Math" w:cs="Cambria Math"/>
          <w:sz w:val="24"/>
          <w:szCs w:val="24"/>
          <w:highlight w:val="white"/>
          <w:lang w:val="en-US"/>
        </w:rPr>
        <w:t>‐</w:t>
      </w:r>
      <w:r w:rsidRPr="00F574A1">
        <w:rPr>
          <w:rFonts w:ascii="Century Gothic" w:eastAsia="Arial" w:hAnsi="Century Gothic" w:cs="Arial"/>
          <w:sz w:val="24"/>
          <w:szCs w:val="24"/>
          <w:highlight w:val="white"/>
          <w:lang w:val="en-US"/>
        </w:rPr>
        <w:t xml:space="preserve">controlled study. </w:t>
      </w:r>
      <w:r w:rsidRPr="0016703E">
        <w:rPr>
          <w:rFonts w:ascii="Century Gothic" w:eastAsia="Arial" w:hAnsi="Century Gothic" w:cs="Arial"/>
          <w:sz w:val="24"/>
          <w:szCs w:val="24"/>
          <w:highlight w:val="white"/>
        </w:rPr>
        <w:t>Aliment Pharmacol Ther [Internet]. 2009;29(3):315</w:t>
      </w:r>
      <w:r w:rsidRPr="0016703E">
        <w:rPr>
          <w:rFonts w:ascii="Century Gothic" w:eastAsia="Arial" w:hAnsi="Century Gothic" w:cs="Century Gothic"/>
          <w:sz w:val="24"/>
          <w:szCs w:val="24"/>
          <w:highlight w:val="white"/>
        </w:rPr>
        <w:t>–</w:t>
      </w:r>
      <w:r w:rsidRPr="0016703E">
        <w:rPr>
          <w:rFonts w:ascii="Century Gothic" w:eastAsia="Arial" w:hAnsi="Century Gothic" w:cs="Arial"/>
          <w:sz w:val="24"/>
          <w:szCs w:val="24"/>
          <w:highlight w:val="white"/>
        </w:rPr>
        <w:t xml:space="preserve">28. Disponible en: </w:t>
      </w:r>
      <w:hyperlink r:id="rId48">
        <w:r w:rsidRPr="009F68C5">
          <w:rPr>
            <w:rFonts w:ascii="Century Gothic" w:eastAsia="Arial" w:hAnsi="Century Gothic" w:cs="Arial"/>
            <w:sz w:val="24"/>
            <w:szCs w:val="24"/>
            <w:highlight w:val="white"/>
          </w:rPr>
          <w:t>http://dx.doi.org/10.1111/j.1365-2036.2008.03884.x</w:t>
        </w:r>
      </w:hyperlink>
    </w:p>
    <w:p w14:paraId="03B86899" w14:textId="77777777" w:rsidR="009F68C5" w:rsidRPr="0016703E" w:rsidRDefault="009F68C5" w:rsidP="009F68C5">
      <w:pPr>
        <w:pBdr>
          <w:top w:val="nil"/>
          <w:left w:val="nil"/>
          <w:bottom w:val="nil"/>
          <w:right w:val="nil"/>
          <w:between w:val="nil"/>
        </w:pBdr>
        <w:spacing w:after="0" w:line="240" w:lineRule="auto"/>
        <w:jc w:val="both"/>
        <w:rPr>
          <w:rFonts w:ascii="Century Gothic" w:eastAsia="Arial" w:hAnsi="Century Gothic" w:cs="Arial"/>
          <w:sz w:val="24"/>
          <w:szCs w:val="24"/>
        </w:rPr>
      </w:pPr>
    </w:p>
    <w:p w14:paraId="0AB67201" w14:textId="77777777" w:rsidR="000505ED" w:rsidRPr="009F68C5"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F574A1">
        <w:rPr>
          <w:rFonts w:ascii="Century Gothic" w:eastAsia="Arial" w:hAnsi="Century Gothic" w:cs="Arial"/>
          <w:sz w:val="24"/>
          <w:szCs w:val="24"/>
          <w:highlight w:val="white"/>
          <w:lang w:val="en-US"/>
        </w:rPr>
        <w:t xml:space="preserve">Ford AC, Talley NJ, Schoenfeld PS, Quigley EMM, Moayyedi P. Efficacy of antidepressants and psychological therapies in irritable bowel syndrome: systematic review and meta-analysis. </w:t>
      </w:r>
      <w:r w:rsidRPr="0016703E">
        <w:rPr>
          <w:rFonts w:ascii="Century Gothic" w:eastAsia="Arial" w:hAnsi="Century Gothic" w:cs="Arial"/>
          <w:sz w:val="24"/>
          <w:szCs w:val="24"/>
          <w:highlight w:val="white"/>
        </w:rPr>
        <w:t xml:space="preserve">Gut [Internet]. 2009 [citado el 23 de mayo de 2024];58(3):367–78. Disponible en: </w:t>
      </w:r>
      <w:hyperlink r:id="rId49">
        <w:r w:rsidRPr="009F68C5">
          <w:rPr>
            <w:rFonts w:ascii="Century Gothic" w:eastAsia="Arial" w:hAnsi="Century Gothic" w:cs="Arial"/>
            <w:sz w:val="24"/>
            <w:szCs w:val="24"/>
            <w:highlight w:val="white"/>
          </w:rPr>
          <w:t>https://pubmed.ncbi.nlm.nih.gov/19001059/</w:t>
        </w:r>
      </w:hyperlink>
    </w:p>
    <w:p w14:paraId="59295DC8" w14:textId="77777777" w:rsidR="009F68C5" w:rsidRPr="0016703E" w:rsidRDefault="009F68C5" w:rsidP="009F68C5">
      <w:pPr>
        <w:pBdr>
          <w:top w:val="nil"/>
          <w:left w:val="nil"/>
          <w:bottom w:val="nil"/>
          <w:right w:val="nil"/>
          <w:between w:val="nil"/>
        </w:pBdr>
        <w:spacing w:after="0" w:line="240" w:lineRule="auto"/>
        <w:jc w:val="both"/>
        <w:rPr>
          <w:rFonts w:ascii="Century Gothic" w:eastAsia="Arial" w:hAnsi="Century Gothic" w:cs="Arial"/>
          <w:sz w:val="24"/>
          <w:szCs w:val="24"/>
        </w:rPr>
      </w:pPr>
    </w:p>
    <w:p w14:paraId="1440360E" w14:textId="77777777" w:rsidR="000505ED" w:rsidRPr="0016703E" w:rsidRDefault="000505ED" w:rsidP="000505ED">
      <w:pPr>
        <w:numPr>
          <w:ilvl w:val="0"/>
          <w:numId w:val="7"/>
        </w:numPr>
        <w:pBdr>
          <w:top w:val="nil"/>
          <w:left w:val="nil"/>
          <w:bottom w:val="nil"/>
          <w:right w:val="nil"/>
          <w:between w:val="nil"/>
        </w:pBdr>
        <w:spacing w:after="0" w:line="240" w:lineRule="auto"/>
        <w:jc w:val="both"/>
        <w:rPr>
          <w:rFonts w:ascii="Century Gothic" w:eastAsia="Arial" w:hAnsi="Century Gothic" w:cs="Arial"/>
          <w:sz w:val="24"/>
          <w:szCs w:val="24"/>
        </w:rPr>
      </w:pPr>
      <w:r w:rsidRPr="00F574A1">
        <w:rPr>
          <w:rFonts w:ascii="Century Gothic" w:eastAsia="Arial" w:hAnsi="Century Gothic" w:cs="Arial"/>
          <w:sz w:val="24"/>
          <w:szCs w:val="24"/>
          <w:highlight w:val="white"/>
          <w:lang w:val="en-US"/>
        </w:rPr>
        <w:t>Vahedi H, Merat S, Rashidioon A, Ghoddoosi A, Malekzadeh R. The effect of fluoxetine in patients with pain and constipation</w:t>
      </w:r>
      <w:r w:rsidRPr="00F574A1">
        <w:rPr>
          <w:rFonts w:ascii="Cambria Math" w:eastAsia="Arial" w:hAnsi="Cambria Math" w:cs="Cambria Math"/>
          <w:sz w:val="24"/>
          <w:szCs w:val="24"/>
          <w:highlight w:val="white"/>
          <w:lang w:val="en-US"/>
        </w:rPr>
        <w:t>‐</w:t>
      </w:r>
      <w:r w:rsidRPr="00F574A1">
        <w:rPr>
          <w:rFonts w:ascii="Century Gothic" w:eastAsia="Arial" w:hAnsi="Century Gothic" w:cs="Arial"/>
          <w:sz w:val="24"/>
          <w:szCs w:val="24"/>
          <w:highlight w:val="white"/>
          <w:lang w:val="en-US"/>
        </w:rPr>
        <w:t>predominant irritable bowel syndrome: a double</w:t>
      </w:r>
      <w:r w:rsidRPr="00F574A1">
        <w:rPr>
          <w:rFonts w:ascii="Cambria Math" w:eastAsia="Arial" w:hAnsi="Cambria Math" w:cs="Cambria Math"/>
          <w:sz w:val="24"/>
          <w:szCs w:val="24"/>
          <w:highlight w:val="white"/>
          <w:lang w:val="en-US"/>
        </w:rPr>
        <w:t>‐</w:t>
      </w:r>
      <w:r w:rsidRPr="00F574A1">
        <w:rPr>
          <w:rFonts w:ascii="Century Gothic" w:eastAsia="Arial" w:hAnsi="Century Gothic" w:cs="Arial"/>
          <w:sz w:val="24"/>
          <w:szCs w:val="24"/>
          <w:highlight w:val="white"/>
          <w:lang w:val="en-US"/>
        </w:rPr>
        <w:t>blind randomized</w:t>
      </w:r>
      <w:r w:rsidRPr="00F574A1">
        <w:rPr>
          <w:rFonts w:ascii="Cambria Math" w:eastAsia="Arial" w:hAnsi="Cambria Math" w:cs="Cambria Math"/>
          <w:sz w:val="24"/>
          <w:szCs w:val="24"/>
          <w:highlight w:val="white"/>
          <w:lang w:val="en-US"/>
        </w:rPr>
        <w:t>‐</w:t>
      </w:r>
      <w:r w:rsidRPr="00F574A1">
        <w:rPr>
          <w:rFonts w:ascii="Century Gothic" w:eastAsia="Arial" w:hAnsi="Century Gothic" w:cs="Arial"/>
          <w:sz w:val="24"/>
          <w:szCs w:val="24"/>
          <w:highlight w:val="white"/>
          <w:lang w:val="en-US"/>
        </w:rPr>
        <w:t xml:space="preserve">controlled study. </w:t>
      </w:r>
      <w:r w:rsidRPr="0016703E">
        <w:rPr>
          <w:rFonts w:ascii="Century Gothic" w:eastAsia="Arial" w:hAnsi="Century Gothic" w:cs="Arial"/>
          <w:sz w:val="24"/>
          <w:szCs w:val="24"/>
          <w:highlight w:val="white"/>
        </w:rPr>
        <w:t>Aliment Pharmacol Ther [Internet]. 2005;22(5):381</w:t>
      </w:r>
      <w:r w:rsidRPr="0016703E">
        <w:rPr>
          <w:rFonts w:ascii="Century Gothic" w:eastAsia="Arial" w:hAnsi="Century Gothic" w:cs="Century Gothic"/>
          <w:sz w:val="24"/>
          <w:szCs w:val="24"/>
          <w:highlight w:val="white"/>
        </w:rPr>
        <w:t>–</w:t>
      </w:r>
      <w:r w:rsidRPr="0016703E">
        <w:rPr>
          <w:rFonts w:ascii="Century Gothic" w:eastAsia="Arial" w:hAnsi="Century Gothic" w:cs="Arial"/>
          <w:sz w:val="24"/>
          <w:szCs w:val="24"/>
          <w:highlight w:val="white"/>
        </w:rPr>
        <w:t xml:space="preserve">5. Disponible en: </w:t>
      </w:r>
      <w:hyperlink r:id="rId50">
        <w:r w:rsidRPr="009F68C5">
          <w:rPr>
            <w:rFonts w:ascii="Century Gothic" w:eastAsia="Arial" w:hAnsi="Century Gothic" w:cs="Arial"/>
            <w:sz w:val="24"/>
            <w:szCs w:val="24"/>
            <w:highlight w:val="white"/>
          </w:rPr>
          <w:t>http://dx.doi.org/10.1111/j.1365-2036.2005.02566.x</w:t>
        </w:r>
      </w:hyperlink>
    </w:p>
    <w:p w14:paraId="7E667892" w14:textId="77777777" w:rsidR="000505ED" w:rsidRPr="0016703E" w:rsidRDefault="000505ED" w:rsidP="000505ED">
      <w:pPr>
        <w:pBdr>
          <w:top w:val="nil"/>
          <w:left w:val="nil"/>
          <w:bottom w:val="nil"/>
          <w:right w:val="nil"/>
          <w:between w:val="nil"/>
        </w:pBdr>
        <w:spacing w:after="0" w:line="240" w:lineRule="auto"/>
        <w:ind w:left="720"/>
        <w:jc w:val="both"/>
        <w:rPr>
          <w:rFonts w:ascii="Century Gothic" w:eastAsia="Arial" w:hAnsi="Century Gothic" w:cs="Arial"/>
          <w:color w:val="37393C"/>
          <w:sz w:val="24"/>
          <w:szCs w:val="24"/>
          <w:highlight w:val="white"/>
        </w:rPr>
      </w:pPr>
    </w:p>
    <w:p w14:paraId="3C2C6FCD" w14:textId="77777777" w:rsidR="000505ED" w:rsidRPr="0016703E" w:rsidRDefault="000505ED" w:rsidP="000505ED">
      <w:pPr>
        <w:spacing w:after="0" w:line="240" w:lineRule="auto"/>
        <w:rPr>
          <w:rFonts w:ascii="Century Gothic" w:eastAsia="Arial" w:hAnsi="Century Gothic" w:cs="Arial"/>
          <w:sz w:val="24"/>
          <w:szCs w:val="24"/>
        </w:rPr>
      </w:pPr>
    </w:p>
    <w:p w14:paraId="0FC9E192" w14:textId="77777777" w:rsidR="000505ED" w:rsidRPr="0016703E" w:rsidRDefault="000505ED" w:rsidP="000505ED">
      <w:pPr>
        <w:spacing w:after="0" w:line="240" w:lineRule="auto"/>
        <w:rPr>
          <w:rFonts w:ascii="Century Gothic" w:eastAsia="Arial" w:hAnsi="Century Gothic" w:cs="Arial"/>
          <w:sz w:val="24"/>
          <w:szCs w:val="24"/>
        </w:rPr>
      </w:pPr>
    </w:p>
    <w:p w14:paraId="4EDF4633" w14:textId="77777777" w:rsidR="000505ED" w:rsidRPr="0016703E" w:rsidRDefault="000505ED" w:rsidP="000505ED">
      <w:pPr>
        <w:spacing w:after="0" w:line="240" w:lineRule="auto"/>
        <w:rPr>
          <w:rFonts w:ascii="Century Gothic" w:eastAsia="Arial" w:hAnsi="Century Gothic" w:cs="Arial"/>
          <w:sz w:val="24"/>
          <w:szCs w:val="24"/>
        </w:rPr>
      </w:pPr>
    </w:p>
    <w:p w14:paraId="6694FA27" w14:textId="77777777" w:rsidR="000505ED" w:rsidRPr="0016703E" w:rsidRDefault="000505ED" w:rsidP="000505ED">
      <w:pPr>
        <w:spacing w:after="0" w:line="240" w:lineRule="auto"/>
        <w:rPr>
          <w:rFonts w:ascii="Century Gothic" w:eastAsia="Arial" w:hAnsi="Century Gothic" w:cs="Arial"/>
          <w:sz w:val="24"/>
          <w:szCs w:val="24"/>
        </w:rPr>
      </w:pPr>
    </w:p>
    <w:p w14:paraId="7C4D8C05" w14:textId="77777777" w:rsidR="000505ED" w:rsidRPr="0016703E" w:rsidRDefault="000505ED" w:rsidP="000505ED">
      <w:pPr>
        <w:spacing w:after="0" w:line="240" w:lineRule="auto"/>
        <w:rPr>
          <w:rFonts w:ascii="Century Gothic" w:eastAsia="Arial" w:hAnsi="Century Gothic" w:cs="Arial"/>
          <w:sz w:val="24"/>
          <w:szCs w:val="24"/>
        </w:rPr>
      </w:pPr>
    </w:p>
    <w:p w14:paraId="4601A48F" w14:textId="77777777" w:rsidR="000505ED" w:rsidRPr="0016703E" w:rsidRDefault="000505ED" w:rsidP="000505ED">
      <w:pPr>
        <w:spacing w:after="0" w:line="240" w:lineRule="auto"/>
        <w:rPr>
          <w:rFonts w:ascii="Century Gothic" w:eastAsia="Arial" w:hAnsi="Century Gothic" w:cs="Arial"/>
          <w:sz w:val="24"/>
          <w:szCs w:val="24"/>
        </w:rPr>
      </w:pPr>
    </w:p>
    <w:p w14:paraId="2EC448F6" w14:textId="77777777" w:rsidR="00FC4FA9" w:rsidRPr="0016703E" w:rsidRDefault="00FC4FA9" w:rsidP="0016703E">
      <w:pPr>
        <w:tabs>
          <w:tab w:val="left" w:pos="8070"/>
        </w:tabs>
        <w:spacing w:after="0" w:line="240" w:lineRule="auto"/>
        <w:rPr>
          <w:rFonts w:ascii="Century Gothic" w:eastAsia="Arial" w:hAnsi="Century Gothic" w:cs="Arial"/>
          <w:b/>
          <w:sz w:val="24"/>
          <w:szCs w:val="24"/>
        </w:rPr>
      </w:pPr>
    </w:p>
    <w:p w14:paraId="3B2FCFFF" w14:textId="77777777" w:rsidR="00FC4FA9" w:rsidRPr="0016703E" w:rsidRDefault="00FC4FA9" w:rsidP="0016703E">
      <w:pPr>
        <w:tabs>
          <w:tab w:val="left" w:pos="8070"/>
        </w:tabs>
        <w:spacing w:after="0" w:line="240" w:lineRule="auto"/>
        <w:rPr>
          <w:rFonts w:ascii="Century Gothic" w:eastAsia="Arial" w:hAnsi="Century Gothic" w:cs="Arial"/>
          <w:b/>
          <w:sz w:val="24"/>
          <w:szCs w:val="24"/>
        </w:rPr>
      </w:pPr>
    </w:p>
    <w:p w14:paraId="344B402E" w14:textId="77777777" w:rsidR="00FC4FA9" w:rsidRPr="0016703E" w:rsidRDefault="00FC4FA9" w:rsidP="0016703E">
      <w:pPr>
        <w:tabs>
          <w:tab w:val="left" w:pos="8070"/>
        </w:tabs>
        <w:spacing w:after="0" w:line="240" w:lineRule="auto"/>
        <w:rPr>
          <w:rFonts w:ascii="Century Gothic" w:eastAsia="Arial" w:hAnsi="Century Gothic" w:cs="Arial"/>
          <w:b/>
          <w:sz w:val="24"/>
          <w:szCs w:val="24"/>
        </w:rPr>
      </w:pPr>
    </w:p>
    <w:p w14:paraId="0CD3983D" w14:textId="77777777" w:rsidR="00F2150C" w:rsidRPr="0016703E" w:rsidRDefault="00F2150C" w:rsidP="0016703E">
      <w:pPr>
        <w:spacing w:after="0" w:line="240" w:lineRule="auto"/>
        <w:rPr>
          <w:rFonts w:ascii="Century Gothic" w:eastAsia="Arial" w:hAnsi="Century Gothic" w:cs="Arial"/>
          <w:b/>
          <w:sz w:val="24"/>
          <w:szCs w:val="24"/>
        </w:rPr>
      </w:pPr>
    </w:p>
    <w:p w14:paraId="2C840DD7" w14:textId="77777777" w:rsidR="00F2150C" w:rsidRPr="0016703E" w:rsidRDefault="00D84AD5" w:rsidP="0016703E">
      <w:pPr>
        <w:spacing w:after="0" w:line="240" w:lineRule="auto"/>
        <w:rPr>
          <w:rFonts w:ascii="Century Gothic" w:eastAsia="Arial" w:hAnsi="Century Gothic" w:cs="Arial"/>
          <w:b/>
          <w:sz w:val="24"/>
          <w:szCs w:val="24"/>
        </w:rPr>
      </w:pPr>
      <w:r w:rsidRPr="0016703E">
        <w:rPr>
          <w:rFonts w:ascii="Century Gothic" w:eastAsia="Arial" w:hAnsi="Century Gothic" w:cs="Arial"/>
          <w:b/>
          <w:sz w:val="24"/>
          <w:szCs w:val="24"/>
        </w:rPr>
        <w:t>CONTROL DE CAMBIOS</w:t>
      </w:r>
    </w:p>
    <w:tbl>
      <w:tblPr>
        <w:tblStyle w:val="a5"/>
        <w:tblW w:w="9799" w:type="dxa"/>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3098"/>
        <w:gridCol w:w="2168"/>
        <w:gridCol w:w="1981"/>
      </w:tblGrid>
      <w:tr w:rsidR="00F2150C" w:rsidRPr="0016703E" w14:paraId="494DDD27" w14:textId="77777777">
        <w:tc>
          <w:tcPr>
            <w:tcW w:w="2552" w:type="dxa"/>
            <w:tcBorders>
              <w:top w:val="single" w:sz="4" w:space="0" w:color="000000"/>
              <w:left w:val="single" w:sz="4" w:space="0" w:color="000000"/>
              <w:bottom w:val="single" w:sz="4" w:space="0" w:color="000000"/>
              <w:right w:val="single" w:sz="4" w:space="0" w:color="000000"/>
            </w:tcBorders>
            <w:shd w:val="clear" w:color="auto" w:fill="D9D9D9"/>
          </w:tcPr>
          <w:p w14:paraId="6113B4FD" w14:textId="77777777" w:rsidR="00F2150C" w:rsidRPr="0016703E" w:rsidRDefault="00D84AD5" w:rsidP="0016703E">
            <w:pPr>
              <w:spacing w:after="0" w:line="240" w:lineRule="auto"/>
              <w:jc w:val="center"/>
              <w:rPr>
                <w:rFonts w:ascii="Century Gothic" w:eastAsia="Arial" w:hAnsi="Century Gothic" w:cs="Arial"/>
                <w:b/>
                <w:sz w:val="24"/>
                <w:szCs w:val="24"/>
              </w:rPr>
            </w:pPr>
            <w:r w:rsidRPr="0016703E">
              <w:rPr>
                <w:rFonts w:ascii="Century Gothic" w:eastAsia="Arial" w:hAnsi="Century Gothic" w:cs="Arial"/>
                <w:b/>
                <w:sz w:val="24"/>
                <w:szCs w:val="24"/>
              </w:rPr>
              <w:t>Elaboró</w:t>
            </w:r>
          </w:p>
        </w:tc>
        <w:tc>
          <w:tcPr>
            <w:tcW w:w="3098" w:type="dxa"/>
            <w:tcBorders>
              <w:top w:val="single" w:sz="4" w:space="0" w:color="000000"/>
              <w:left w:val="single" w:sz="4" w:space="0" w:color="000000"/>
              <w:bottom w:val="single" w:sz="4" w:space="0" w:color="000000"/>
              <w:right w:val="single" w:sz="4" w:space="0" w:color="000000"/>
            </w:tcBorders>
            <w:shd w:val="clear" w:color="auto" w:fill="D9D9D9"/>
          </w:tcPr>
          <w:p w14:paraId="4C133D7A" w14:textId="77777777" w:rsidR="00F2150C" w:rsidRPr="0016703E" w:rsidRDefault="00D84AD5" w:rsidP="0016703E">
            <w:pPr>
              <w:spacing w:after="0" w:line="240" w:lineRule="auto"/>
              <w:jc w:val="center"/>
              <w:rPr>
                <w:rFonts w:ascii="Century Gothic" w:eastAsia="Arial" w:hAnsi="Century Gothic" w:cs="Arial"/>
                <w:b/>
                <w:sz w:val="24"/>
                <w:szCs w:val="24"/>
              </w:rPr>
            </w:pPr>
            <w:r w:rsidRPr="0016703E">
              <w:rPr>
                <w:rFonts w:ascii="Century Gothic" w:eastAsia="Arial" w:hAnsi="Century Gothic" w:cs="Arial"/>
                <w:b/>
                <w:sz w:val="24"/>
                <w:szCs w:val="24"/>
              </w:rPr>
              <w:t>Revisó</w:t>
            </w:r>
          </w:p>
        </w:tc>
        <w:tc>
          <w:tcPr>
            <w:tcW w:w="2168" w:type="dxa"/>
            <w:tcBorders>
              <w:top w:val="single" w:sz="4" w:space="0" w:color="000000"/>
              <w:left w:val="single" w:sz="4" w:space="0" w:color="000000"/>
              <w:bottom w:val="single" w:sz="4" w:space="0" w:color="000000"/>
              <w:right w:val="single" w:sz="4" w:space="0" w:color="000000"/>
            </w:tcBorders>
            <w:shd w:val="clear" w:color="auto" w:fill="D9D9D9"/>
          </w:tcPr>
          <w:p w14:paraId="192A5CEC" w14:textId="77777777" w:rsidR="00F2150C" w:rsidRPr="0016703E" w:rsidRDefault="00D84AD5" w:rsidP="0016703E">
            <w:pPr>
              <w:spacing w:after="0" w:line="240" w:lineRule="auto"/>
              <w:jc w:val="center"/>
              <w:rPr>
                <w:rFonts w:ascii="Century Gothic" w:eastAsia="Arial" w:hAnsi="Century Gothic" w:cs="Arial"/>
                <w:b/>
                <w:sz w:val="24"/>
                <w:szCs w:val="24"/>
              </w:rPr>
            </w:pPr>
            <w:r w:rsidRPr="0016703E">
              <w:rPr>
                <w:rFonts w:ascii="Century Gothic" w:eastAsia="Arial" w:hAnsi="Century Gothic" w:cs="Arial"/>
                <w:b/>
                <w:sz w:val="24"/>
                <w:szCs w:val="24"/>
              </w:rPr>
              <w:t>Aprobó</w:t>
            </w:r>
          </w:p>
        </w:tc>
        <w:tc>
          <w:tcPr>
            <w:tcW w:w="1981" w:type="dxa"/>
            <w:tcBorders>
              <w:top w:val="single" w:sz="4" w:space="0" w:color="000000"/>
              <w:left w:val="single" w:sz="4" w:space="0" w:color="000000"/>
              <w:bottom w:val="single" w:sz="4" w:space="0" w:color="000000"/>
              <w:right w:val="single" w:sz="4" w:space="0" w:color="000000"/>
            </w:tcBorders>
            <w:shd w:val="clear" w:color="auto" w:fill="D9D9D9"/>
          </w:tcPr>
          <w:p w14:paraId="093B76EB" w14:textId="77777777" w:rsidR="00F2150C" w:rsidRPr="0016703E" w:rsidRDefault="00D84AD5" w:rsidP="0016703E">
            <w:pPr>
              <w:spacing w:after="0" w:line="240" w:lineRule="auto"/>
              <w:jc w:val="center"/>
              <w:rPr>
                <w:rFonts w:ascii="Century Gothic" w:eastAsia="Arial" w:hAnsi="Century Gothic" w:cs="Arial"/>
                <w:b/>
                <w:sz w:val="24"/>
                <w:szCs w:val="24"/>
              </w:rPr>
            </w:pPr>
            <w:r w:rsidRPr="0016703E">
              <w:rPr>
                <w:rFonts w:ascii="Century Gothic" w:eastAsia="Arial" w:hAnsi="Century Gothic" w:cs="Arial"/>
                <w:b/>
                <w:sz w:val="24"/>
                <w:szCs w:val="24"/>
              </w:rPr>
              <w:t>Fecha de vigencia</w:t>
            </w:r>
          </w:p>
        </w:tc>
      </w:tr>
      <w:tr w:rsidR="009F68C5" w:rsidRPr="0016703E" w14:paraId="1A9D158C" w14:textId="77777777">
        <w:trPr>
          <w:trHeight w:val="583"/>
        </w:trPr>
        <w:tc>
          <w:tcPr>
            <w:tcW w:w="2552" w:type="dxa"/>
            <w:tcBorders>
              <w:top w:val="single" w:sz="4" w:space="0" w:color="000000"/>
              <w:left w:val="single" w:sz="4" w:space="0" w:color="000000"/>
              <w:bottom w:val="single" w:sz="4" w:space="0" w:color="000000"/>
              <w:right w:val="single" w:sz="4" w:space="0" w:color="000000"/>
            </w:tcBorders>
          </w:tcPr>
          <w:p w14:paraId="2ABA0D44" w14:textId="77777777" w:rsidR="009F68C5" w:rsidRDefault="009F68C5" w:rsidP="009F68C5">
            <w:pPr>
              <w:spacing w:after="0" w:line="240" w:lineRule="auto"/>
              <w:jc w:val="center"/>
              <w:rPr>
                <w:rFonts w:ascii="Century Gothic" w:eastAsia="Arial" w:hAnsi="Century Gothic" w:cs="Arial"/>
                <w:sz w:val="24"/>
                <w:szCs w:val="24"/>
              </w:rPr>
            </w:pPr>
          </w:p>
          <w:p w14:paraId="4B29FB75" w14:textId="57A331CB" w:rsidR="009F68C5" w:rsidRPr="0016703E"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Mónica Liliana Salgado</w:t>
            </w:r>
          </w:p>
        </w:tc>
        <w:tc>
          <w:tcPr>
            <w:tcW w:w="3098" w:type="dxa"/>
            <w:tcBorders>
              <w:top w:val="single" w:sz="4" w:space="0" w:color="000000"/>
              <w:left w:val="single" w:sz="4" w:space="0" w:color="000000"/>
              <w:bottom w:val="single" w:sz="4" w:space="0" w:color="000000"/>
              <w:right w:val="single" w:sz="4" w:space="0" w:color="000000"/>
            </w:tcBorders>
          </w:tcPr>
          <w:p w14:paraId="78088468" w14:textId="77777777" w:rsidR="009F68C5" w:rsidRDefault="009F68C5" w:rsidP="009F68C5">
            <w:pPr>
              <w:spacing w:after="0" w:line="240" w:lineRule="auto"/>
              <w:jc w:val="center"/>
              <w:rPr>
                <w:rFonts w:ascii="Century Gothic" w:eastAsia="Arial" w:hAnsi="Century Gothic" w:cs="Arial"/>
                <w:sz w:val="24"/>
                <w:szCs w:val="24"/>
              </w:rPr>
            </w:pPr>
          </w:p>
          <w:p w14:paraId="24A08CA0" w14:textId="3E9BBF59" w:rsidR="009F68C5" w:rsidRPr="0016703E"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 xml:space="preserve">Aseguramiento de la Calidad </w:t>
            </w:r>
          </w:p>
        </w:tc>
        <w:tc>
          <w:tcPr>
            <w:tcW w:w="2168" w:type="dxa"/>
            <w:tcBorders>
              <w:top w:val="single" w:sz="4" w:space="0" w:color="000000"/>
              <w:left w:val="single" w:sz="4" w:space="0" w:color="000000"/>
              <w:bottom w:val="single" w:sz="4" w:space="0" w:color="000000"/>
              <w:right w:val="single" w:sz="4" w:space="0" w:color="000000"/>
            </w:tcBorders>
          </w:tcPr>
          <w:p w14:paraId="36DC1A09" w14:textId="77777777" w:rsidR="009F68C5" w:rsidRDefault="009F68C5" w:rsidP="009F68C5">
            <w:pPr>
              <w:spacing w:after="0" w:line="240" w:lineRule="auto"/>
              <w:jc w:val="center"/>
              <w:rPr>
                <w:rFonts w:ascii="Century Gothic" w:eastAsia="Arial" w:hAnsi="Century Gothic" w:cs="Arial"/>
                <w:sz w:val="24"/>
                <w:szCs w:val="24"/>
              </w:rPr>
            </w:pPr>
          </w:p>
          <w:p w14:paraId="3E3F96CA" w14:textId="79CC8A21" w:rsidR="009F68C5" w:rsidRPr="0016703E"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Rectoría</w:t>
            </w:r>
          </w:p>
        </w:tc>
        <w:tc>
          <w:tcPr>
            <w:tcW w:w="1981" w:type="dxa"/>
            <w:tcBorders>
              <w:top w:val="single" w:sz="4" w:space="0" w:color="000000"/>
              <w:left w:val="single" w:sz="4" w:space="0" w:color="000000"/>
              <w:bottom w:val="single" w:sz="4" w:space="0" w:color="000000"/>
              <w:right w:val="single" w:sz="4" w:space="0" w:color="000000"/>
            </w:tcBorders>
          </w:tcPr>
          <w:p w14:paraId="028EB7B1" w14:textId="77777777" w:rsidR="009F68C5" w:rsidRDefault="009F68C5" w:rsidP="009F68C5">
            <w:pPr>
              <w:spacing w:after="0" w:line="240" w:lineRule="auto"/>
              <w:jc w:val="center"/>
              <w:rPr>
                <w:rFonts w:ascii="Century Gothic" w:eastAsia="Arial" w:hAnsi="Century Gothic" w:cs="Arial"/>
                <w:sz w:val="24"/>
                <w:szCs w:val="24"/>
              </w:rPr>
            </w:pPr>
          </w:p>
          <w:p w14:paraId="288893DC" w14:textId="1D1049F5" w:rsidR="009F68C5" w:rsidRPr="0016703E" w:rsidRDefault="00F574A1" w:rsidP="009F68C5">
            <w:pPr>
              <w:spacing w:after="0" w:line="240" w:lineRule="auto"/>
              <w:jc w:val="center"/>
              <w:rPr>
                <w:rFonts w:ascii="Century Gothic" w:eastAsia="Arial" w:hAnsi="Century Gothic" w:cs="Arial"/>
                <w:sz w:val="24"/>
                <w:szCs w:val="24"/>
              </w:rPr>
            </w:pPr>
            <w:r>
              <w:rPr>
                <w:rFonts w:ascii="Century Gothic" w:eastAsia="Arial" w:hAnsi="Century Gothic" w:cs="Arial"/>
                <w:sz w:val="24"/>
                <w:szCs w:val="24"/>
              </w:rPr>
              <w:t>Febrero de 2025</w:t>
            </w:r>
          </w:p>
        </w:tc>
      </w:tr>
      <w:tr w:rsidR="009F68C5" w:rsidRPr="0016703E" w14:paraId="7A4B06C2" w14:textId="77777777">
        <w:trPr>
          <w:trHeight w:val="583"/>
        </w:trPr>
        <w:tc>
          <w:tcPr>
            <w:tcW w:w="2552" w:type="dxa"/>
            <w:tcBorders>
              <w:top w:val="single" w:sz="4" w:space="0" w:color="000000"/>
              <w:left w:val="single" w:sz="4" w:space="0" w:color="000000"/>
              <w:bottom w:val="single" w:sz="4" w:space="0" w:color="000000"/>
              <w:right w:val="single" w:sz="4" w:space="0" w:color="000000"/>
            </w:tcBorders>
          </w:tcPr>
          <w:p w14:paraId="17505F4C" w14:textId="77777777" w:rsidR="009F68C5" w:rsidRPr="00013561" w:rsidRDefault="009F68C5" w:rsidP="009F68C5">
            <w:pPr>
              <w:spacing w:after="0" w:line="240" w:lineRule="auto"/>
              <w:jc w:val="center"/>
              <w:rPr>
                <w:rFonts w:ascii="Century Gothic" w:eastAsia="Arial" w:hAnsi="Century Gothic" w:cs="Arial"/>
                <w:b/>
                <w:bCs/>
                <w:sz w:val="24"/>
                <w:szCs w:val="24"/>
              </w:rPr>
            </w:pPr>
            <w:r w:rsidRPr="00013561">
              <w:rPr>
                <w:rFonts w:ascii="Century Gothic" w:eastAsia="Arial" w:hAnsi="Century Gothic" w:cs="Arial"/>
                <w:b/>
                <w:bCs/>
                <w:sz w:val="24"/>
                <w:szCs w:val="24"/>
              </w:rPr>
              <w:t xml:space="preserve">Actualizó </w:t>
            </w:r>
          </w:p>
          <w:p w14:paraId="0164AC5F" w14:textId="1272BE0C" w:rsidR="009F68C5"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 xml:space="preserve">Jenny </w:t>
            </w:r>
            <w:r w:rsidR="004636B9" w:rsidRPr="0016703E">
              <w:rPr>
                <w:rFonts w:ascii="Century Gothic" w:eastAsia="Arial" w:hAnsi="Century Gothic" w:cs="Arial"/>
                <w:sz w:val="24"/>
                <w:szCs w:val="24"/>
              </w:rPr>
              <w:t>Enith</w:t>
            </w:r>
            <w:r w:rsidRPr="0016703E">
              <w:rPr>
                <w:rFonts w:ascii="Century Gothic" w:eastAsia="Arial" w:hAnsi="Century Gothic" w:cs="Arial"/>
                <w:sz w:val="24"/>
                <w:szCs w:val="24"/>
              </w:rPr>
              <w:t xml:space="preserve"> Ramírez Aguirre</w:t>
            </w:r>
          </w:p>
          <w:p w14:paraId="4F688942" w14:textId="77777777" w:rsidR="004636B9" w:rsidRPr="0016703E" w:rsidRDefault="004636B9" w:rsidP="009F68C5">
            <w:pPr>
              <w:spacing w:after="0" w:line="240" w:lineRule="auto"/>
              <w:jc w:val="center"/>
              <w:rPr>
                <w:rFonts w:ascii="Century Gothic" w:eastAsia="Arial" w:hAnsi="Century Gothic" w:cs="Arial"/>
                <w:sz w:val="24"/>
                <w:szCs w:val="24"/>
              </w:rPr>
            </w:pPr>
          </w:p>
          <w:p w14:paraId="0E35701D" w14:textId="77777777" w:rsidR="009F68C5" w:rsidRPr="0016703E"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Leydi Viviana Rincón Alarcón</w:t>
            </w:r>
          </w:p>
        </w:tc>
        <w:tc>
          <w:tcPr>
            <w:tcW w:w="3098" w:type="dxa"/>
            <w:tcBorders>
              <w:top w:val="single" w:sz="4" w:space="0" w:color="000000"/>
              <w:left w:val="single" w:sz="4" w:space="0" w:color="000000"/>
              <w:bottom w:val="single" w:sz="4" w:space="0" w:color="000000"/>
              <w:right w:val="single" w:sz="4" w:space="0" w:color="000000"/>
            </w:tcBorders>
          </w:tcPr>
          <w:p w14:paraId="677D93FD" w14:textId="77777777" w:rsidR="009F68C5" w:rsidRDefault="009F68C5" w:rsidP="009F68C5">
            <w:pPr>
              <w:spacing w:after="0" w:line="240" w:lineRule="auto"/>
              <w:jc w:val="center"/>
              <w:rPr>
                <w:rFonts w:ascii="Century Gothic" w:eastAsia="Arial" w:hAnsi="Century Gothic" w:cs="Arial"/>
                <w:sz w:val="24"/>
                <w:szCs w:val="24"/>
              </w:rPr>
            </w:pPr>
          </w:p>
          <w:p w14:paraId="331AB379" w14:textId="483D01DF" w:rsidR="009F68C5" w:rsidRPr="0016703E"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Mónica Liliana Salgado</w:t>
            </w:r>
          </w:p>
        </w:tc>
        <w:tc>
          <w:tcPr>
            <w:tcW w:w="2168" w:type="dxa"/>
            <w:tcBorders>
              <w:top w:val="single" w:sz="4" w:space="0" w:color="000000"/>
              <w:left w:val="single" w:sz="4" w:space="0" w:color="000000"/>
              <w:bottom w:val="single" w:sz="4" w:space="0" w:color="000000"/>
              <w:right w:val="single" w:sz="4" w:space="0" w:color="000000"/>
            </w:tcBorders>
          </w:tcPr>
          <w:p w14:paraId="465C2026" w14:textId="77777777" w:rsidR="009F68C5" w:rsidRDefault="009F68C5" w:rsidP="009F68C5">
            <w:pPr>
              <w:spacing w:after="0" w:line="240" w:lineRule="auto"/>
              <w:jc w:val="center"/>
              <w:rPr>
                <w:rFonts w:ascii="Century Gothic" w:eastAsia="Arial" w:hAnsi="Century Gothic" w:cs="Arial"/>
                <w:sz w:val="24"/>
                <w:szCs w:val="24"/>
              </w:rPr>
            </w:pPr>
          </w:p>
          <w:p w14:paraId="2263EB02" w14:textId="0E3FF30E" w:rsidR="009F68C5" w:rsidRPr="0016703E"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Comité de Calidad</w:t>
            </w:r>
          </w:p>
        </w:tc>
        <w:tc>
          <w:tcPr>
            <w:tcW w:w="1981" w:type="dxa"/>
            <w:tcBorders>
              <w:top w:val="single" w:sz="4" w:space="0" w:color="000000"/>
              <w:left w:val="single" w:sz="4" w:space="0" w:color="000000"/>
              <w:bottom w:val="single" w:sz="4" w:space="0" w:color="000000"/>
              <w:right w:val="single" w:sz="4" w:space="0" w:color="000000"/>
            </w:tcBorders>
          </w:tcPr>
          <w:p w14:paraId="70588053" w14:textId="77777777" w:rsidR="009F68C5" w:rsidRDefault="009F68C5" w:rsidP="009F68C5">
            <w:pPr>
              <w:spacing w:after="0" w:line="240" w:lineRule="auto"/>
              <w:jc w:val="center"/>
              <w:rPr>
                <w:rFonts w:ascii="Century Gothic" w:eastAsia="Arial" w:hAnsi="Century Gothic" w:cs="Arial"/>
                <w:sz w:val="24"/>
                <w:szCs w:val="24"/>
              </w:rPr>
            </w:pPr>
          </w:p>
          <w:p w14:paraId="44DB8D0B" w14:textId="547B9F80" w:rsidR="009F68C5" w:rsidRDefault="004636B9" w:rsidP="009F68C5">
            <w:pPr>
              <w:spacing w:after="0" w:line="240" w:lineRule="auto"/>
              <w:jc w:val="center"/>
              <w:rPr>
                <w:rFonts w:ascii="Century Gothic" w:eastAsia="Arial" w:hAnsi="Century Gothic" w:cs="Arial"/>
                <w:sz w:val="24"/>
                <w:szCs w:val="24"/>
              </w:rPr>
            </w:pPr>
            <w:r>
              <w:rPr>
                <w:rFonts w:ascii="Century Gothic" w:eastAsia="Arial" w:hAnsi="Century Gothic" w:cs="Arial"/>
                <w:sz w:val="24"/>
                <w:szCs w:val="24"/>
              </w:rPr>
              <w:t>Junio</w:t>
            </w:r>
            <w:r w:rsidR="009F68C5" w:rsidRPr="0016703E">
              <w:rPr>
                <w:rFonts w:ascii="Century Gothic" w:eastAsia="Arial" w:hAnsi="Century Gothic" w:cs="Arial"/>
                <w:sz w:val="24"/>
                <w:szCs w:val="24"/>
              </w:rPr>
              <w:t xml:space="preserve"> de </w:t>
            </w:r>
          </w:p>
          <w:p w14:paraId="6E3B76D7" w14:textId="10DB370C" w:rsidR="009F68C5" w:rsidRPr="0016703E"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2024</w:t>
            </w:r>
          </w:p>
        </w:tc>
      </w:tr>
    </w:tbl>
    <w:p w14:paraId="2B4F313F" w14:textId="77777777" w:rsidR="00F2150C" w:rsidRPr="0016703E" w:rsidRDefault="00F2150C" w:rsidP="0016703E">
      <w:pPr>
        <w:spacing w:after="0" w:line="240" w:lineRule="auto"/>
        <w:ind w:left="720"/>
        <w:rPr>
          <w:rFonts w:ascii="Century Gothic" w:eastAsia="Arial" w:hAnsi="Century Gothic" w:cs="Arial"/>
          <w:b/>
          <w:sz w:val="24"/>
          <w:szCs w:val="24"/>
        </w:rPr>
      </w:pPr>
    </w:p>
    <w:p w14:paraId="1820FF9A" w14:textId="77777777" w:rsidR="00F2150C" w:rsidRDefault="00D84AD5" w:rsidP="0016703E">
      <w:pPr>
        <w:numPr>
          <w:ilvl w:val="0"/>
          <w:numId w:val="2"/>
        </w:numPr>
        <w:spacing w:after="0" w:line="240" w:lineRule="auto"/>
        <w:rPr>
          <w:rFonts w:ascii="Century Gothic" w:eastAsia="Arial" w:hAnsi="Century Gothic" w:cs="Arial"/>
          <w:b/>
          <w:sz w:val="24"/>
          <w:szCs w:val="24"/>
        </w:rPr>
      </w:pPr>
      <w:r w:rsidRPr="0016703E">
        <w:rPr>
          <w:rFonts w:ascii="Century Gothic" w:eastAsia="Arial" w:hAnsi="Century Gothic" w:cs="Arial"/>
          <w:b/>
          <w:sz w:val="24"/>
          <w:szCs w:val="24"/>
        </w:rPr>
        <w:t>CONTROL DE CAMBIOS</w:t>
      </w:r>
    </w:p>
    <w:p w14:paraId="350E70B1" w14:textId="77777777" w:rsidR="009F68C5" w:rsidRDefault="009F68C5" w:rsidP="009F68C5">
      <w:pPr>
        <w:spacing w:after="0" w:line="240" w:lineRule="auto"/>
        <w:rPr>
          <w:rFonts w:ascii="Century Gothic" w:eastAsia="Arial" w:hAnsi="Century Gothic" w:cs="Arial"/>
          <w:b/>
          <w:sz w:val="24"/>
          <w:szCs w:val="24"/>
        </w:rPr>
      </w:pPr>
    </w:p>
    <w:p w14:paraId="2D591849" w14:textId="77777777" w:rsidR="009F68C5" w:rsidRDefault="009F68C5" w:rsidP="009F68C5">
      <w:pPr>
        <w:spacing w:after="0" w:line="240" w:lineRule="auto"/>
        <w:rPr>
          <w:rFonts w:ascii="Century Gothic" w:eastAsia="Arial" w:hAnsi="Century Gothic" w:cs="Arial"/>
          <w:b/>
          <w:sz w:val="24"/>
          <w:szCs w:val="24"/>
        </w:rPr>
      </w:pPr>
    </w:p>
    <w:tbl>
      <w:tblPr>
        <w:tblW w:w="1006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1276"/>
        <w:gridCol w:w="4536"/>
        <w:gridCol w:w="2982"/>
      </w:tblGrid>
      <w:tr w:rsidR="009F68C5" w:rsidRPr="00672467" w14:paraId="245AF2F5" w14:textId="77777777" w:rsidTr="009F68C5">
        <w:trPr>
          <w:trHeight w:val="589"/>
        </w:trPr>
        <w:tc>
          <w:tcPr>
            <w:tcW w:w="127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A64C85" w14:textId="77777777" w:rsidR="009F68C5" w:rsidRPr="00672467" w:rsidRDefault="009F68C5" w:rsidP="00631437">
            <w:pPr>
              <w:ind w:hanging="2"/>
              <w:jc w:val="center"/>
              <w:rPr>
                <w:rFonts w:ascii="Century Gothic" w:eastAsia="Century Gothic" w:hAnsi="Century Gothic" w:cs="Century Gothic"/>
              </w:rPr>
            </w:pPr>
            <w:r w:rsidRPr="00672467">
              <w:rPr>
                <w:rFonts w:ascii="Century Gothic" w:eastAsia="Century Gothic" w:hAnsi="Century Gothic" w:cs="Century Gothic"/>
                <w:b/>
              </w:rPr>
              <w:t>FECHA</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D284F8" w14:textId="77777777" w:rsidR="009F68C5" w:rsidRPr="00672467" w:rsidRDefault="009F68C5" w:rsidP="00631437">
            <w:pPr>
              <w:ind w:hanging="2"/>
              <w:jc w:val="center"/>
              <w:rPr>
                <w:rFonts w:ascii="Century Gothic" w:eastAsia="Century Gothic" w:hAnsi="Century Gothic" w:cs="Century Gothic"/>
              </w:rPr>
            </w:pPr>
            <w:r w:rsidRPr="00672467">
              <w:rPr>
                <w:rFonts w:ascii="Century Gothic" w:eastAsia="Century Gothic" w:hAnsi="Century Gothic" w:cs="Century Gothic"/>
                <w:b/>
              </w:rPr>
              <w:t>VERSIÓN</w:t>
            </w:r>
          </w:p>
        </w:tc>
        <w:tc>
          <w:tcPr>
            <w:tcW w:w="45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442BA2" w14:textId="77777777" w:rsidR="009F68C5" w:rsidRPr="00672467" w:rsidRDefault="009F68C5" w:rsidP="00631437">
            <w:pPr>
              <w:ind w:hanging="2"/>
              <w:jc w:val="center"/>
              <w:rPr>
                <w:rFonts w:ascii="Century Gothic" w:eastAsia="Century Gothic" w:hAnsi="Century Gothic" w:cs="Century Gothic"/>
              </w:rPr>
            </w:pPr>
            <w:r w:rsidRPr="00672467">
              <w:rPr>
                <w:rFonts w:ascii="Century Gothic" w:eastAsia="Century Gothic" w:hAnsi="Century Gothic" w:cs="Century Gothic"/>
                <w:b/>
              </w:rPr>
              <w:t>ÍTEM</w:t>
            </w:r>
          </w:p>
        </w:tc>
        <w:tc>
          <w:tcPr>
            <w:tcW w:w="29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4AC456" w14:textId="77777777" w:rsidR="009F68C5" w:rsidRPr="00672467" w:rsidRDefault="009F68C5" w:rsidP="00631437">
            <w:pPr>
              <w:ind w:hanging="2"/>
              <w:jc w:val="center"/>
              <w:rPr>
                <w:rFonts w:ascii="Century Gothic" w:eastAsia="Century Gothic" w:hAnsi="Century Gothic" w:cs="Century Gothic"/>
              </w:rPr>
            </w:pPr>
            <w:r w:rsidRPr="00672467">
              <w:rPr>
                <w:rFonts w:ascii="Century Gothic" w:eastAsia="Century Gothic" w:hAnsi="Century Gothic" w:cs="Century Gothic"/>
                <w:b/>
              </w:rPr>
              <w:t>MODIFICACIÓN</w:t>
            </w:r>
          </w:p>
        </w:tc>
      </w:tr>
      <w:tr w:rsidR="009F68C5" w:rsidRPr="00672467" w14:paraId="11DB1A1C" w14:textId="77777777" w:rsidTr="009F68C5">
        <w:trPr>
          <w:trHeight w:val="623"/>
        </w:trPr>
        <w:tc>
          <w:tcPr>
            <w:tcW w:w="1271" w:type="dxa"/>
            <w:tcBorders>
              <w:top w:val="single" w:sz="4" w:space="0" w:color="000000"/>
              <w:left w:val="single" w:sz="4" w:space="0" w:color="000000"/>
              <w:bottom w:val="single" w:sz="4" w:space="0" w:color="000000"/>
              <w:right w:val="single" w:sz="4" w:space="0" w:color="000000"/>
            </w:tcBorders>
          </w:tcPr>
          <w:p w14:paraId="09487342" w14:textId="77777777" w:rsidR="009F68C5" w:rsidRDefault="009F68C5" w:rsidP="009F68C5">
            <w:pPr>
              <w:spacing w:after="0" w:line="240" w:lineRule="auto"/>
              <w:ind w:hanging="2"/>
              <w:jc w:val="center"/>
              <w:rPr>
                <w:rFonts w:ascii="Century Gothic" w:eastAsia="Century Gothic" w:hAnsi="Century Gothic" w:cs="Century Gothic"/>
              </w:rPr>
            </w:pPr>
          </w:p>
          <w:p w14:paraId="50276111" w14:textId="2EF50834" w:rsidR="009F68C5" w:rsidRPr="00672467" w:rsidRDefault="009F68C5" w:rsidP="009F68C5">
            <w:pPr>
              <w:spacing w:after="0" w:line="240" w:lineRule="auto"/>
              <w:jc w:val="center"/>
              <w:rPr>
                <w:rFonts w:ascii="Century Gothic" w:eastAsia="Century Gothic" w:hAnsi="Century Gothic" w:cs="Century Gothic"/>
              </w:rPr>
            </w:pPr>
            <w:r>
              <w:rPr>
                <w:rFonts w:ascii="Century Gothic" w:eastAsia="Century Gothic" w:hAnsi="Century Gothic" w:cs="Century Gothic"/>
              </w:rPr>
              <w:t xml:space="preserve">Agosto </w:t>
            </w:r>
            <w:r w:rsidRPr="00672467">
              <w:rPr>
                <w:rFonts w:ascii="Century Gothic" w:eastAsia="Century Gothic" w:hAnsi="Century Gothic" w:cs="Century Gothic"/>
              </w:rPr>
              <w:t>de 2015</w:t>
            </w:r>
          </w:p>
        </w:tc>
        <w:tc>
          <w:tcPr>
            <w:tcW w:w="1276" w:type="dxa"/>
            <w:tcBorders>
              <w:top w:val="single" w:sz="4" w:space="0" w:color="000000"/>
              <w:left w:val="single" w:sz="4" w:space="0" w:color="000000"/>
              <w:bottom w:val="single" w:sz="4" w:space="0" w:color="000000"/>
              <w:right w:val="single" w:sz="4" w:space="0" w:color="000000"/>
            </w:tcBorders>
            <w:vAlign w:val="center"/>
          </w:tcPr>
          <w:p w14:paraId="60B177DF" w14:textId="77777777" w:rsidR="009F68C5" w:rsidRDefault="009F68C5" w:rsidP="009F68C5">
            <w:pPr>
              <w:spacing w:after="0" w:line="240" w:lineRule="auto"/>
              <w:ind w:hanging="2"/>
              <w:jc w:val="center"/>
              <w:rPr>
                <w:rFonts w:ascii="Century Gothic" w:eastAsia="Century Gothic" w:hAnsi="Century Gothic" w:cs="Century Gothic"/>
              </w:rPr>
            </w:pPr>
          </w:p>
          <w:p w14:paraId="11C3AEA2" w14:textId="3B7A5F94" w:rsidR="009F68C5" w:rsidRPr="00672467" w:rsidRDefault="009F68C5" w:rsidP="009F68C5">
            <w:pPr>
              <w:spacing w:after="0" w:line="240" w:lineRule="auto"/>
              <w:ind w:hanging="2"/>
              <w:jc w:val="center"/>
              <w:rPr>
                <w:rFonts w:ascii="Century Gothic" w:eastAsia="Century Gothic" w:hAnsi="Century Gothic" w:cs="Century Gothic"/>
              </w:rPr>
            </w:pPr>
            <w:r w:rsidRPr="00672467">
              <w:rPr>
                <w:rFonts w:ascii="Century Gothic" w:eastAsia="Century Gothic" w:hAnsi="Century Gothic" w:cs="Century Gothic"/>
              </w:rPr>
              <w:t>1</w:t>
            </w:r>
          </w:p>
        </w:tc>
        <w:tc>
          <w:tcPr>
            <w:tcW w:w="4536" w:type="dxa"/>
            <w:tcBorders>
              <w:top w:val="single" w:sz="4" w:space="0" w:color="000000"/>
              <w:left w:val="single" w:sz="4" w:space="0" w:color="000000"/>
              <w:bottom w:val="single" w:sz="4" w:space="0" w:color="000000"/>
              <w:right w:val="single" w:sz="4" w:space="0" w:color="000000"/>
            </w:tcBorders>
            <w:vAlign w:val="center"/>
          </w:tcPr>
          <w:p w14:paraId="1B0F2E15" w14:textId="44A28042" w:rsidR="009F68C5" w:rsidRPr="00672467" w:rsidRDefault="009F68C5" w:rsidP="009F68C5">
            <w:pPr>
              <w:spacing w:after="0" w:line="240" w:lineRule="auto"/>
              <w:jc w:val="center"/>
              <w:rPr>
                <w:rFonts w:ascii="Century Gothic" w:eastAsia="Century Gothic" w:hAnsi="Century Gothic" w:cs="Century Gothic"/>
              </w:rPr>
            </w:pPr>
            <w:r w:rsidRPr="00672467">
              <w:rPr>
                <w:rFonts w:ascii="Century Gothic" w:eastAsia="Century Gothic" w:hAnsi="Century Gothic" w:cs="Century Gothic"/>
              </w:rPr>
              <w:t>Todo el documento</w:t>
            </w:r>
          </w:p>
        </w:tc>
        <w:tc>
          <w:tcPr>
            <w:tcW w:w="2982" w:type="dxa"/>
            <w:tcBorders>
              <w:top w:val="single" w:sz="4" w:space="0" w:color="000000"/>
              <w:left w:val="single" w:sz="4" w:space="0" w:color="000000"/>
              <w:bottom w:val="single" w:sz="4" w:space="0" w:color="000000"/>
              <w:right w:val="single" w:sz="4" w:space="0" w:color="000000"/>
            </w:tcBorders>
          </w:tcPr>
          <w:p w14:paraId="733147F5" w14:textId="77777777" w:rsidR="009F68C5" w:rsidRDefault="009F68C5" w:rsidP="009F68C5">
            <w:pPr>
              <w:spacing w:after="0" w:line="240" w:lineRule="auto"/>
              <w:jc w:val="center"/>
              <w:rPr>
                <w:rFonts w:ascii="Century Gothic" w:eastAsia="Century Gothic" w:hAnsi="Century Gothic" w:cs="Century Gothic"/>
              </w:rPr>
            </w:pPr>
          </w:p>
          <w:p w14:paraId="30679C12" w14:textId="5F7A558F" w:rsidR="009F68C5" w:rsidRPr="00672467" w:rsidRDefault="009F68C5" w:rsidP="009F68C5">
            <w:pPr>
              <w:spacing w:after="0" w:line="240" w:lineRule="auto"/>
              <w:jc w:val="center"/>
              <w:rPr>
                <w:rFonts w:ascii="Century Gothic" w:eastAsia="Century Gothic" w:hAnsi="Century Gothic" w:cs="Century Gothic"/>
              </w:rPr>
            </w:pPr>
            <w:r w:rsidRPr="00672467">
              <w:rPr>
                <w:rFonts w:ascii="Century Gothic" w:eastAsia="Century Gothic" w:hAnsi="Century Gothic" w:cs="Century Gothic"/>
              </w:rPr>
              <w:t>Creación del documento</w:t>
            </w:r>
          </w:p>
        </w:tc>
      </w:tr>
      <w:tr w:rsidR="009F68C5" w:rsidRPr="00672467" w14:paraId="46AEC3F9" w14:textId="77777777" w:rsidTr="009F68C5">
        <w:trPr>
          <w:trHeight w:val="544"/>
        </w:trPr>
        <w:tc>
          <w:tcPr>
            <w:tcW w:w="1271" w:type="dxa"/>
            <w:tcBorders>
              <w:top w:val="single" w:sz="4" w:space="0" w:color="000000"/>
              <w:left w:val="single" w:sz="4" w:space="0" w:color="000000"/>
              <w:bottom w:val="single" w:sz="4" w:space="0" w:color="000000"/>
              <w:right w:val="single" w:sz="4" w:space="0" w:color="000000"/>
            </w:tcBorders>
          </w:tcPr>
          <w:p w14:paraId="21D35235" w14:textId="77777777" w:rsidR="009F68C5" w:rsidRDefault="009F68C5" w:rsidP="009F68C5">
            <w:pPr>
              <w:spacing w:after="0" w:line="240" w:lineRule="auto"/>
              <w:jc w:val="center"/>
              <w:rPr>
                <w:rFonts w:ascii="Century Gothic" w:eastAsia="Century Gothic" w:hAnsi="Century Gothic" w:cs="Century Gothic"/>
              </w:rPr>
            </w:pPr>
            <w:r>
              <w:rPr>
                <w:rFonts w:ascii="Century Gothic" w:eastAsia="Century Gothic" w:hAnsi="Century Gothic" w:cs="Century Gothic"/>
              </w:rPr>
              <w:t>Agosto de 2017</w:t>
            </w:r>
          </w:p>
        </w:tc>
        <w:tc>
          <w:tcPr>
            <w:tcW w:w="1276" w:type="dxa"/>
            <w:tcBorders>
              <w:top w:val="single" w:sz="4" w:space="0" w:color="000000"/>
              <w:left w:val="single" w:sz="4" w:space="0" w:color="000000"/>
              <w:bottom w:val="single" w:sz="4" w:space="0" w:color="000000"/>
              <w:right w:val="single" w:sz="4" w:space="0" w:color="000000"/>
            </w:tcBorders>
            <w:vAlign w:val="center"/>
          </w:tcPr>
          <w:p w14:paraId="43058B94" w14:textId="77777777" w:rsidR="009F68C5" w:rsidRDefault="009F68C5" w:rsidP="009F68C5">
            <w:pPr>
              <w:spacing w:after="0" w:line="240" w:lineRule="auto"/>
              <w:ind w:hanging="2"/>
              <w:jc w:val="center"/>
              <w:rPr>
                <w:rFonts w:ascii="Century Gothic" w:eastAsia="Century Gothic" w:hAnsi="Century Gothic" w:cs="Century Gothic"/>
              </w:rPr>
            </w:pPr>
          </w:p>
          <w:p w14:paraId="46C87BD1" w14:textId="77777777" w:rsidR="009F68C5" w:rsidRPr="00672467" w:rsidRDefault="009F68C5" w:rsidP="009F68C5">
            <w:pPr>
              <w:spacing w:after="0" w:line="240" w:lineRule="auto"/>
              <w:ind w:hanging="2"/>
              <w:jc w:val="center"/>
              <w:rPr>
                <w:rFonts w:ascii="Century Gothic" w:eastAsia="Century Gothic" w:hAnsi="Century Gothic" w:cs="Century Gothic"/>
              </w:rPr>
            </w:pPr>
            <w:r>
              <w:rPr>
                <w:rFonts w:ascii="Century Gothic" w:eastAsia="Century Gothic" w:hAnsi="Century Gothic" w:cs="Century Gothic"/>
              </w:rPr>
              <w:t>2</w:t>
            </w:r>
          </w:p>
        </w:tc>
        <w:tc>
          <w:tcPr>
            <w:tcW w:w="4536" w:type="dxa"/>
            <w:tcBorders>
              <w:top w:val="single" w:sz="4" w:space="0" w:color="000000"/>
              <w:left w:val="single" w:sz="4" w:space="0" w:color="000000"/>
              <w:bottom w:val="single" w:sz="4" w:space="0" w:color="000000"/>
              <w:right w:val="single" w:sz="4" w:space="0" w:color="000000"/>
            </w:tcBorders>
            <w:vAlign w:val="center"/>
          </w:tcPr>
          <w:p w14:paraId="1442CC9B" w14:textId="77777777" w:rsidR="009F68C5" w:rsidRDefault="009F68C5" w:rsidP="009F68C5">
            <w:pPr>
              <w:spacing w:after="0" w:line="240" w:lineRule="auto"/>
              <w:ind w:hanging="2"/>
              <w:jc w:val="center"/>
              <w:rPr>
                <w:rFonts w:ascii="Century Gothic" w:eastAsia="Century Gothic" w:hAnsi="Century Gothic" w:cs="Century Gothic"/>
              </w:rPr>
            </w:pPr>
          </w:p>
          <w:p w14:paraId="61B01B51" w14:textId="77777777" w:rsidR="009F68C5" w:rsidRPr="00672467" w:rsidRDefault="009F68C5" w:rsidP="009F68C5">
            <w:pPr>
              <w:spacing w:after="0" w:line="240" w:lineRule="auto"/>
              <w:ind w:hanging="2"/>
              <w:jc w:val="center"/>
              <w:rPr>
                <w:rFonts w:ascii="Century Gothic" w:eastAsia="Century Gothic" w:hAnsi="Century Gothic" w:cs="Century Gothic"/>
              </w:rPr>
            </w:pPr>
            <w:r>
              <w:rPr>
                <w:rFonts w:ascii="Century Gothic" w:eastAsia="Century Gothic" w:hAnsi="Century Gothic" w:cs="Century Gothic"/>
              </w:rPr>
              <w:t>Revisión periódica</w:t>
            </w:r>
          </w:p>
        </w:tc>
        <w:tc>
          <w:tcPr>
            <w:tcW w:w="2982" w:type="dxa"/>
            <w:tcBorders>
              <w:top w:val="single" w:sz="4" w:space="0" w:color="000000"/>
              <w:left w:val="single" w:sz="4" w:space="0" w:color="000000"/>
              <w:bottom w:val="single" w:sz="4" w:space="0" w:color="000000"/>
              <w:right w:val="single" w:sz="4" w:space="0" w:color="000000"/>
            </w:tcBorders>
          </w:tcPr>
          <w:p w14:paraId="3C14D76E" w14:textId="77777777" w:rsidR="009F68C5" w:rsidRDefault="009F68C5" w:rsidP="009F68C5">
            <w:pPr>
              <w:spacing w:after="0" w:line="240" w:lineRule="auto"/>
              <w:jc w:val="center"/>
              <w:rPr>
                <w:rFonts w:ascii="Century Gothic" w:eastAsia="Century Gothic" w:hAnsi="Century Gothic" w:cs="Century Gothic"/>
              </w:rPr>
            </w:pPr>
          </w:p>
          <w:p w14:paraId="06996B1C" w14:textId="77777777" w:rsidR="009F68C5" w:rsidRPr="00672467" w:rsidRDefault="009F68C5" w:rsidP="009F68C5">
            <w:pPr>
              <w:spacing w:after="0" w:line="240" w:lineRule="auto"/>
              <w:jc w:val="center"/>
              <w:rPr>
                <w:rFonts w:ascii="Century Gothic" w:eastAsia="Century Gothic" w:hAnsi="Century Gothic" w:cs="Century Gothic"/>
              </w:rPr>
            </w:pPr>
            <w:r>
              <w:rPr>
                <w:rFonts w:ascii="Century Gothic" w:eastAsia="Century Gothic" w:hAnsi="Century Gothic" w:cs="Century Gothic"/>
              </w:rPr>
              <w:t xml:space="preserve">Normatividad </w:t>
            </w:r>
          </w:p>
        </w:tc>
      </w:tr>
      <w:tr w:rsidR="009F68C5" w:rsidRPr="00672467" w14:paraId="2FC2AF05" w14:textId="77777777" w:rsidTr="009F68C5">
        <w:trPr>
          <w:trHeight w:val="658"/>
        </w:trPr>
        <w:tc>
          <w:tcPr>
            <w:tcW w:w="1271" w:type="dxa"/>
            <w:tcBorders>
              <w:top w:val="single" w:sz="4" w:space="0" w:color="000000"/>
              <w:left w:val="single" w:sz="4" w:space="0" w:color="000000"/>
              <w:bottom w:val="single" w:sz="4" w:space="0" w:color="000000"/>
              <w:right w:val="single" w:sz="4" w:space="0" w:color="000000"/>
            </w:tcBorders>
          </w:tcPr>
          <w:p w14:paraId="719BC831" w14:textId="77777777" w:rsidR="009F68C5" w:rsidRDefault="009F68C5" w:rsidP="009F68C5">
            <w:pPr>
              <w:spacing w:after="0" w:line="240" w:lineRule="auto"/>
              <w:jc w:val="center"/>
              <w:rPr>
                <w:rFonts w:ascii="Century Gothic" w:eastAsia="Century Gothic" w:hAnsi="Century Gothic" w:cs="Century Gothic"/>
              </w:rPr>
            </w:pPr>
            <w:r>
              <w:rPr>
                <w:rFonts w:ascii="Century Gothic" w:eastAsia="Century Gothic" w:hAnsi="Century Gothic" w:cs="Century Gothic"/>
              </w:rPr>
              <w:t>Agosto de 2019</w:t>
            </w:r>
          </w:p>
        </w:tc>
        <w:tc>
          <w:tcPr>
            <w:tcW w:w="1276" w:type="dxa"/>
            <w:tcBorders>
              <w:top w:val="single" w:sz="4" w:space="0" w:color="000000"/>
              <w:left w:val="single" w:sz="4" w:space="0" w:color="000000"/>
              <w:bottom w:val="single" w:sz="4" w:space="0" w:color="000000"/>
              <w:right w:val="single" w:sz="4" w:space="0" w:color="000000"/>
            </w:tcBorders>
            <w:vAlign w:val="center"/>
          </w:tcPr>
          <w:p w14:paraId="005BF106" w14:textId="77777777" w:rsidR="009F68C5" w:rsidRDefault="009F68C5" w:rsidP="009F68C5">
            <w:pPr>
              <w:spacing w:after="0" w:line="240" w:lineRule="auto"/>
              <w:ind w:hanging="2"/>
              <w:jc w:val="center"/>
              <w:rPr>
                <w:rFonts w:ascii="Century Gothic" w:eastAsia="Century Gothic" w:hAnsi="Century Gothic" w:cs="Century Gothic"/>
              </w:rPr>
            </w:pPr>
            <w:r>
              <w:rPr>
                <w:rFonts w:ascii="Century Gothic" w:eastAsia="Century Gothic" w:hAnsi="Century Gothic" w:cs="Century Gothic"/>
              </w:rPr>
              <w:t>3</w:t>
            </w:r>
          </w:p>
        </w:tc>
        <w:tc>
          <w:tcPr>
            <w:tcW w:w="4536" w:type="dxa"/>
            <w:tcBorders>
              <w:top w:val="single" w:sz="4" w:space="0" w:color="000000"/>
              <w:left w:val="single" w:sz="4" w:space="0" w:color="000000"/>
              <w:bottom w:val="single" w:sz="4" w:space="0" w:color="000000"/>
              <w:right w:val="single" w:sz="4" w:space="0" w:color="000000"/>
            </w:tcBorders>
            <w:vAlign w:val="center"/>
          </w:tcPr>
          <w:p w14:paraId="68D07065" w14:textId="77777777" w:rsidR="009F68C5" w:rsidRDefault="009F68C5" w:rsidP="009F68C5">
            <w:pPr>
              <w:spacing w:after="0" w:line="240" w:lineRule="auto"/>
              <w:jc w:val="center"/>
              <w:rPr>
                <w:rFonts w:ascii="Century Gothic" w:eastAsia="Century Gothic" w:hAnsi="Century Gothic" w:cs="Century Gothic"/>
              </w:rPr>
            </w:pPr>
            <w:r>
              <w:rPr>
                <w:rFonts w:ascii="Century Gothic" w:eastAsia="Century Gothic" w:hAnsi="Century Gothic" w:cs="Century Gothic"/>
              </w:rPr>
              <w:t>Revisión periódica</w:t>
            </w:r>
          </w:p>
        </w:tc>
        <w:tc>
          <w:tcPr>
            <w:tcW w:w="2982" w:type="dxa"/>
            <w:tcBorders>
              <w:top w:val="single" w:sz="4" w:space="0" w:color="000000"/>
              <w:left w:val="single" w:sz="4" w:space="0" w:color="000000"/>
              <w:bottom w:val="single" w:sz="4" w:space="0" w:color="000000"/>
              <w:right w:val="single" w:sz="4" w:space="0" w:color="000000"/>
            </w:tcBorders>
          </w:tcPr>
          <w:p w14:paraId="1F74D358" w14:textId="77777777" w:rsidR="009F68C5" w:rsidRDefault="009F68C5" w:rsidP="009F68C5">
            <w:pPr>
              <w:spacing w:after="0" w:line="240" w:lineRule="auto"/>
              <w:jc w:val="center"/>
              <w:rPr>
                <w:rFonts w:ascii="Century Gothic" w:eastAsia="Century Gothic" w:hAnsi="Century Gothic" w:cs="Century Gothic"/>
              </w:rPr>
            </w:pPr>
          </w:p>
          <w:p w14:paraId="5FDCAC16" w14:textId="77777777" w:rsidR="009F68C5" w:rsidRDefault="009F68C5" w:rsidP="009F68C5">
            <w:pPr>
              <w:spacing w:after="0" w:line="240" w:lineRule="auto"/>
              <w:jc w:val="center"/>
              <w:rPr>
                <w:rFonts w:ascii="Century Gothic" w:eastAsia="Century Gothic" w:hAnsi="Century Gothic" w:cs="Century Gothic"/>
              </w:rPr>
            </w:pPr>
            <w:r>
              <w:rPr>
                <w:rFonts w:ascii="Century Gothic" w:eastAsia="Century Gothic" w:hAnsi="Century Gothic" w:cs="Century Gothic"/>
              </w:rPr>
              <w:t xml:space="preserve">Normatividad </w:t>
            </w:r>
          </w:p>
        </w:tc>
      </w:tr>
      <w:tr w:rsidR="009F68C5" w:rsidRPr="00672467" w14:paraId="65657B3C" w14:textId="77777777" w:rsidTr="009F68C5">
        <w:trPr>
          <w:trHeight w:val="658"/>
        </w:trPr>
        <w:tc>
          <w:tcPr>
            <w:tcW w:w="1271" w:type="dxa"/>
            <w:tcBorders>
              <w:top w:val="single" w:sz="4" w:space="0" w:color="000000"/>
              <w:left w:val="single" w:sz="4" w:space="0" w:color="000000"/>
              <w:bottom w:val="single" w:sz="4" w:space="0" w:color="000000"/>
              <w:right w:val="single" w:sz="4" w:space="0" w:color="000000"/>
            </w:tcBorders>
          </w:tcPr>
          <w:p w14:paraId="5AC1234A" w14:textId="77777777" w:rsidR="009F68C5" w:rsidRDefault="009F68C5" w:rsidP="00631437">
            <w:pPr>
              <w:ind w:hanging="2"/>
              <w:jc w:val="center"/>
              <w:rPr>
                <w:rFonts w:ascii="Century Gothic" w:eastAsia="Century Gothic" w:hAnsi="Century Gothic" w:cs="Century Gothic"/>
              </w:rPr>
            </w:pPr>
          </w:p>
          <w:p w14:paraId="3E73AADF" w14:textId="77777777" w:rsidR="009F68C5" w:rsidRDefault="009F68C5" w:rsidP="00631437">
            <w:pPr>
              <w:jc w:val="center"/>
              <w:rPr>
                <w:rFonts w:ascii="Century Gothic" w:eastAsia="Century Gothic" w:hAnsi="Century Gothic" w:cs="Century Gothic"/>
              </w:rPr>
            </w:pPr>
            <w:r>
              <w:rPr>
                <w:rFonts w:ascii="Century Gothic" w:eastAsia="Century Gothic" w:hAnsi="Century Gothic" w:cs="Century Gothic"/>
              </w:rPr>
              <w:lastRenderedPageBreak/>
              <w:t>Mayo de 2024</w:t>
            </w:r>
          </w:p>
        </w:tc>
        <w:tc>
          <w:tcPr>
            <w:tcW w:w="1276" w:type="dxa"/>
            <w:tcBorders>
              <w:top w:val="single" w:sz="4" w:space="0" w:color="000000"/>
              <w:left w:val="single" w:sz="4" w:space="0" w:color="000000"/>
              <w:bottom w:val="single" w:sz="4" w:space="0" w:color="000000"/>
              <w:right w:val="single" w:sz="4" w:space="0" w:color="000000"/>
            </w:tcBorders>
            <w:vAlign w:val="center"/>
          </w:tcPr>
          <w:p w14:paraId="766EF072" w14:textId="77777777" w:rsidR="009F68C5" w:rsidRDefault="009F68C5" w:rsidP="00631437">
            <w:pPr>
              <w:ind w:hanging="2"/>
              <w:jc w:val="center"/>
              <w:rPr>
                <w:rFonts w:ascii="Century Gothic" w:eastAsia="Century Gothic" w:hAnsi="Century Gothic" w:cs="Century Gothic"/>
              </w:rPr>
            </w:pPr>
            <w:r>
              <w:rPr>
                <w:rFonts w:ascii="Century Gothic" w:eastAsia="Century Gothic" w:hAnsi="Century Gothic" w:cs="Century Gothic"/>
              </w:rPr>
              <w:lastRenderedPageBreak/>
              <w:t>4</w:t>
            </w:r>
          </w:p>
        </w:tc>
        <w:tc>
          <w:tcPr>
            <w:tcW w:w="4536" w:type="dxa"/>
            <w:tcBorders>
              <w:top w:val="single" w:sz="4" w:space="0" w:color="000000"/>
              <w:left w:val="single" w:sz="4" w:space="0" w:color="000000"/>
              <w:bottom w:val="single" w:sz="4" w:space="0" w:color="000000"/>
              <w:right w:val="single" w:sz="4" w:space="0" w:color="000000"/>
            </w:tcBorders>
            <w:vAlign w:val="center"/>
          </w:tcPr>
          <w:p w14:paraId="46632194" w14:textId="77777777" w:rsidR="009F68C5" w:rsidRPr="0016703E"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Se modifica redacción en Justificación, objetivos, alcance, diagnóstico y tratamiento.</w:t>
            </w:r>
          </w:p>
          <w:p w14:paraId="640BFFBC" w14:textId="77777777" w:rsidR="009F68C5" w:rsidRPr="0016703E"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lastRenderedPageBreak/>
              <w:t>Se actualiza definición, signos y síntomas de alarma.</w:t>
            </w:r>
          </w:p>
          <w:p w14:paraId="3B5EA863" w14:textId="77777777" w:rsidR="009F68C5" w:rsidRPr="0016703E"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Se actualiza figura Escala de Bristol de las heces.</w:t>
            </w:r>
          </w:p>
          <w:p w14:paraId="190B318A" w14:textId="3EF329A9" w:rsidR="009F68C5" w:rsidRPr="009F68C5" w:rsidRDefault="009F68C5" w:rsidP="009F68C5">
            <w:pPr>
              <w:spacing w:after="0" w:line="240" w:lineRule="auto"/>
              <w:jc w:val="center"/>
              <w:rPr>
                <w:rFonts w:ascii="Century Gothic" w:eastAsia="Arial" w:hAnsi="Century Gothic" w:cs="Arial"/>
                <w:sz w:val="24"/>
                <w:szCs w:val="24"/>
              </w:rPr>
            </w:pPr>
            <w:r w:rsidRPr="0016703E">
              <w:rPr>
                <w:rFonts w:ascii="Century Gothic" w:eastAsia="Arial" w:hAnsi="Century Gothic" w:cs="Arial"/>
                <w:sz w:val="24"/>
                <w:szCs w:val="24"/>
              </w:rPr>
              <w:t xml:space="preserve">Se incorporan figuras de signos y síntomas de alarma, criterios ROMA IV, subtipos de SII, Tratamiento farmacológico. </w:t>
            </w:r>
          </w:p>
        </w:tc>
        <w:tc>
          <w:tcPr>
            <w:tcW w:w="2982" w:type="dxa"/>
            <w:tcBorders>
              <w:top w:val="single" w:sz="4" w:space="0" w:color="000000"/>
              <w:left w:val="single" w:sz="4" w:space="0" w:color="000000"/>
              <w:bottom w:val="single" w:sz="4" w:space="0" w:color="000000"/>
              <w:right w:val="single" w:sz="4" w:space="0" w:color="000000"/>
            </w:tcBorders>
          </w:tcPr>
          <w:p w14:paraId="5D7832CE" w14:textId="77777777" w:rsidR="009F68C5" w:rsidRDefault="009F68C5" w:rsidP="00631437">
            <w:pPr>
              <w:jc w:val="center"/>
              <w:rPr>
                <w:rFonts w:ascii="Century Gothic" w:eastAsia="Century Gothic" w:hAnsi="Century Gothic" w:cs="Century Gothic"/>
              </w:rPr>
            </w:pPr>
          </w:p>
          <w:p w14:paraId="6741E119" w14:textId="39AC6341" w:rsidR="009F68C5" w:rsidRDefault="009F68C5" w:rsidP="00631437">
            <w:pPr>
              <w:jc w:val="center"/>
              <w:rPr>
                <w:rFonts w:ascii="Century Gothic" w:eastAsia="Century Gothic" w:hAnsi="Century Gothic" w:cs="Century Gothic"/>
              </w:rPr>
            </w:pPr>
            <w:r>
              <w:rPr>
                <w:rFonts w:ascii="Century Gothic" w:eastAsia="Century Gothic" w:hAnsi="Century Gothic" w:cs="Century Gothic"/>
              </w:rPr>
              <w:lastRenderedPageBreak/>
              <w:t xml:space="preserve">Estructura del documento </w:t>
            </w:r>
          </w:p>
        </w:tc>
      </w:tr>
    </w:tbl>
    <w:p w14:paraId="4CFA6174" w14:textId="77777777" w:rsidR="00F2150C" w:rsidRPr="0016703E" w:rsidRDefault="00F2150C" w:rsidP="0016703E">
      <w:pPr>
        <w:spacing w:after="0" w:line="240" w:lineRule="auto"/>
        <w:rPr>
          <w:rFonts w:ascii="Century Gothic" w:eastAsia="Arial" w:hAnsi="Century Gothic" w:cs="Arial"/>
          <w:sz w:val="24"/>
          <w:szCs w:val="24"/>
        </w:rPr>
      </w:pPr>
    </w:p>
    <w:sectPr w:rsidR="00F2150C" w:rsidRPr="0016703E">
      <w:headerReference w:type="even" r:id="rId51"/>
      <w:headerReference w:type="default" r:id="rId52"/>
      <w:footerReference w:type="even" r:id="rId53"/>
      <w:footerReference w:type="default" r:id="rId54"/>
      <w:headerReference w:type="first" r:id="rId55"/>
      <w:footerReference w:type="first" r:id="rId5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170DE" w14:textId="77777777" w:rsidR="00A568CA" w:rsidRDefault="00A568CA">
      <w:pPr>
        <w:spacing w:after="0" w:line="240" w:lineRule="auto"/>
      </w:pPr>
      <w:r>
        <w:separator/>
      </w:r>
    </w:p>
  </w:endnote>
  <w:endnote w:type="continuationSeparator" w:id="0">
    <w:p w14:paraId="6B797DEC" w14:textId="77777777" w:rsidR="00A568CA" w:rsidRDefault="00A56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A1527C8-E03C-D540-BAB8-CB0A0DEE494B}"/>
    <w:embedBold r:id="rId2" w:fontKey="{024DAE64-9353-0E4E-AFAD-E3F1F72AAE94}"/>
  </w:font>
  <w:font w:name="Noto Sans Symbols">
    <w:altName w:val="Calibri"/>
    <w:panose1 w:val="020B0604020202020204"/>
    <w:charset w:val="00"/>
    <w:family w:val="auto"/>
    <w:pitch w:val="default"/>
    <w:embedRegular r:id="rId3" w:fontKey="{A2B82215-FB61-9E4C-B82D-6138E3D3C358}"/>
  </w:font>
  <w:font w:name="Courier New">
    <w:panose1 w:val="02070309020205020404"/>
    <w:charset w:val="00"/>
    <w:family w:val="modern"/>
    <w:pitch w:val="fixed"/>
    <w:sig w:usb0="E0002EFF" w:usb1="C0007843" w:usb2="00000009" w:usb3="00000000" w:csb0="000001FF" w:csb1="00000000"/>
    <w:embedRegular r:id="rId4" w:fontKey="{94F8817A-FC7A-684B-AA9D-3D796169985C}"/>
  </w:font>
  <w:font w:name="Calibri">
    <w:panose1 w:val="020F0502020204030204"/>
    <w:charset w:val="00"/>
    <w:family w:val="swiss"/>
    <w:pitch w:val="variable"/>
    <w:sig w:usb0="E4002EFF" w:usb1="C000247B" w:usb2="00000009" w:usb3="00000000" w:csb0="000001FF" w:csb1="00000000"/>
    <w:embedRegular r:id="rId5" w:fontKey="{82E3B622-F5E5-844B-8C56-257956C6C56D}"/>
    <w:embedBold r:id="rId6" w:fontKey="{571BA86A-011E-BF45-955D-C3D01B782D03}"/>
  </w:font>
  <w:font w:name="Tahoma">
    <w:panose1 w:val="020B0604030504040204"/>
    <w:charset w:val="00"/>
    <w:family w:val="swiss"/>
    <w:pitch w:val="variable"/>
    <w:sig w:usb0="E1002EFF" w:usb1="C000605B" w:usb2="00000029" w:usb3="00000000" w:csb0="000101FF" w:csb1="00000000"/>
    <w:embedRegular r:id="rId7" w:fontKey="{6EBEB288-8B50-9F4D-B208-0E91A2BAABE7}"/>
  </w:font>
  <w:font w:name="Cambria">
    <w:panose1 w:val="02040503050406030204"/>
    <w:charset w:val="00"/>
    <w:family w:val="roman"/>
    <w:pitch w:val="variable"/>
    <w:sig w:usb0="E00006FF" w:usb1="420024FF" w:usb2="02000000" w:usb3="00000000" w:csb0="0000019F" w:csb1="00000000"/>
    <w:embedRegular r:id="rId8" w:fontKey="{76554D19-BDCA-3F46-91BD-95C3D4792C8A}"/>
  </w:font>
  <w:font w:name="Georgia">
    <w:panose1 w:val="02040502050405020303"/>
    <w:charset w:val="00"/>
    <w:family w:val="roman"/>
    <w:pitch w:val="variable"/>
    <w:sig w:usb0="00000287" w:usb1="00000000" w:usb2="00000000" w:usb3="00000000" w:csb0="0000009F" w:csb1="00000000"/>
    <w:embedRegular r:id="rId9" w:fontKey="{773D33E4-5F3F-9046-9B50-CA37AD70D8C7}"/>
    <w:embedItalic r:id="rId10" w:fontKey="{AF4663F8-C23A-DF4F-8AC6-2BA749C63074}"/>
  </w:font>
  <w:font w:name="Century Gothic">
    <w:panose1 w:val="020B0502020202020204"/>
    <w:charset w:val="00"/>
    <w:family w:val="swiss"/>
    <w:pitch w:val="variable"/>
    <w:sig w:usb0="00000287" w:usb1="00000000" w:usb2="00000000" w:usb3="00000000" w:csb0="0000009F" w:csb1="00000000"/>
    <w:embedRegular r:id="rId11" w:fontKey="{0FD0FB49-8AF4-6F41-807E-1951E0B58230}"/>
    <w:embedBold r:id="rId12" w:fontKey="{56A0471C-60F7-6E4A-9C17-AE04ACB3B949}"/>
    <w:embedBoldItalic r:id="rId13" w:fontKey="{3FF9AE5F-006C-8C4F-AA86-FE42ADE6CCD6}"/>
  </w:font>
  <w:font w:name="Arial">
    <w:panose1 w:val="020B0604020202020204"/>
    <w:charset w:val="00"/>
    <w:family w:val="swiss"/>
    <w:pitch w:val="variable"/>
    <w:sig w:usb0="E0002EFF" w:usb1="C000785B" w:usb2="00000009" w:usb3="00000000" w:csb0="000001FF" w:csb1="00000000"/>
    <w:embedRegular r:id="rId14" w:fontKey="{A90BCC5D-AA67-EC4E-8F45-D279FF124BA3}"/>
    <w:embedBold r:id="rId15" w:fontKey="{4B2B4C18-9253-D340-8143-D7236BC5A5A9}"/>
    <w:embedBoldItalic r:id="rId16" w:fontKey="{497850BB-8F33-CE4D-AC3E-B49D363B1C34}"/>
  </w:font>
  <w:font w:name="Cambria Math">
    <w:panose1 w:val="02040503050406030204"/>
    <w:charset w:val="00"/>
    <w:family w:val="roman"/>
    <w:pitch w:val="variable"/>
    <w:sig w:usb0="E00002FF" w:usb1="420024FF" w:usb2="00000000" w:usb3="00000000" w:csb0="0000019F" w:csb1="00000000"/>
    <w:embedRegular r:id="rId17" w:fontKey="{04CB55A9-395D-2B42-945A-966A36E842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84E0C" w14:textId="77777777" w:rsidR="006F678B" w:rsidRDefault="006F678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FD6A3" w14:textId="77777777" w:rsidR="006F678B" w:rsidRDefault="006F678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68136" w14:textId="77777777" w:rsidR="006F678B" w:rsidRDefault="006F678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B6569" w14:textId="77777777" w:rsidR="00A568CA" w:rsidRDefault="00A568CA">
      <w:pPr>
        <w:spacing w:after="0" w:line="240" w:lineRule="auto"/>
      </w:pPr>
      <w:r>
        <w:separator/>
      </w:r>
    </w:p>
  </w:footnote>
  <w:footnote w:type="continuationSeparator" w:id="0">
    <w:p w14:paraId="17F82480" w14:textId="77777777" w:rsidR="00A568CA" w:rsidRDefault="00A568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8356A" w14:textId="77777777" w:rsidR="006F678B" w:rsidRDefault="006F678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F0346" w14:textId="77777777" w:rsidR="00F2150C" w:rsidRDefault="00F2150C">
    <w:pPr>
      <w:widowControl w:val="0"/>
      <w:pBdr>
        <w:top w:val="nil"/>
        <w:left w:val="nil"/>
        <w:bottom w:val="nil"/>
        <w:right w:val="nil"/>
        <w:between w:val="nil"/>
      </w:pBdr>
      <w:spacing w:after="0"/>
      <w:rPr>
        <w:rFonts w:ascii="Arial" w:eastAsia="Arial" w:hAnsi="Arial" w:cs="Arial"/>
        <w:sz w:val="24"/>
        <w:szCs w:val="24"/>
      </w:rPr>
    </w:pPr>
  </w:p>
  <w:tbl>
    <w:tblPr>
      <w:tblW w:w="10409"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3"/>
      <w:gridCol w:w="4518"/>
      <w:gridCol w:w="1276"/>
      <w:gridCol w:w="2002"/>
    </w:tblGrid>
    <w:tr w:rsidR="0016703E" w:rsidRPr="0000373F" w14:paraId="118C4287" w14:textId="77777777" w:rsidTr="00631437">
      <w:trPr>
        <w:trHeight w:val="416"/>
      </w:trPr>
      <w:tc>
        <w:tcPr>
          <w:tcW w:w="2613" w:type="dxa"/>
          <w:vMerge w:val="restart"/>
          <w:shd w:val="clear" w:color="auto" w:fill="auto"/>
          <w:vAlign w:val="center"/>
        </w:tcPr>
        <w:p w14:paraId="249AF9FF" w14:textId="77777777" w:rsidR="0016703E" w:rsidRPr="0000373F" w:rsidRDefault="0016703E" w:rsidP="0016703E">
          <w:pPr>
            <w:pBdr>
              <w:top w:val="nil"/>
              <w:left w:val="nil"/>
              <w:bottom w:val="nil"/>
              <w:right w:val="nil"/>
              <w:between w:val="nil"/>
            </w:pBdr>
            <w:tabs>
              <w:tab w:val="center" w:pos="4252"/>
              <w:tab w:val="right" w:pos="8504"/>
            </w:tabs>
            <w:jc w:val="center"/>
            <w:rPr>
              <w:color w:val="000000"/>
            </w:rPr>
          </w:pPr>
          <w:r w:rsidRPr="008023A3">
            <w:rPr>
              <w:noProof/>
            </w:rPr>
            <w:drawing>
              <wp:inline distT="0" distB="0" distL="0" distR="0" wp14:anchorId="63F29431" wp14:editId="6C2BFA22">
                <wp:extent cx="1522095" cy="718820"/>
                <wp:effectExtent l="0" t="0" r="1905" b="5080"/>
                <wp:docPr id="194382308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23081" name="Imagen 1"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2095" cy="718820"/>
                        </a:xfrm>
                        <a:prstGeom prst="rect">
                          <a:avLst/>
                        </a:prstGeom>
                        <a:noFill/>
                        <a:ln>
                          <a:noFill/>
                        </a:ln>
                      </pic:spPr>
                    </pic:pic>
                  </a:graphicData>
                </a:graphic>
              </wp:inline>
            </w:drawing>
          </w:r>
        </w:p>
      </w:tc>
      <w:tc>
        <w:tcPr>
          <w:tcW w:w="4518" w:type="dxa"/>
          <w:shd w:val="clear" w:color="auto" w:fill="D9D9D9"/>
          <w:vAlign w:val="center"/>
        </w:tcPr>
        <w:p w14:paraId="68756C26" w14:textId="0CC4AE29" w:rsidR="0016703E" w:rsidRPr="00CF0ACD" w:rsidRDefault="0016703E" w:rsidP="0016703E">
          <w:pPr>
            <w:ind w:hanging="2"/>
            <w:jc w:val="center"/>
            <w:rPr>
              <w:rFonts w:ascii="Century Gothic" w:eastAsia="Century Gothic" w:hAnsi="Century Gothic" w:cs="Century Gothic"/>
              <w:b/>
            </w:rPr>
          </w:pPr>
          <w:r w:rsidRPr="00CF0ACD">
            <w:rPr>
              <w:rFonts w:ascii="Century Gothic" w:eastAsia="Century Gothic" w:hAnsi="Century Gothic" w:cs="Century Gothic"/>
              <w:b/>
            </w:rPr>
            <w:t xml:space="preserve">GESTIÓN DEL BIENESTAR </w:t>
          </w:r>
          <w:r w:rsidR="006F678B">
            <w:rPr>
              <w:rFonts w:ascii="Century Gothic" w:eastAsia="Century Gothic" w:hAnsi="Century Gothic" w:cs="Century Gothic"/>
              <w:b/>
            </w:rPr>
            <w:t xml:space="preserve">Y PASTORAL </w:t>
          </w:r>
          <w:r w:rsidRPr="00CF0ACD">
            <w:rPr>
              <w:rFonts w:ascii="Century Gothic" w:eastAsia="Century Gothic" w:hAnsi="Century Gothic" w:cs="Century Gothic"/>
              <w:b/>
            </w:rPr>
            <w:t>UNIVERSITARI</w:t>
          </w:r>
          <w:r w:rsidR="006F678B">
            <w:rPr>
              <w:rFonts w:ascii="Century Gothic" w:eastAsia="Century Gothic" w:hAnsi="Century Gothic" w:cs="Century Gothic"/>
              <w:b/>
            </w:rPr>
            <w:t>A</w:t>
          </w:r>
        </w:p>
      </w:tc>
      <w:tc>
        <w:tcPr>
          <w:tcW w:w="1276" w:type="dxa"/>
          <w:vAlign w:val="center"/>
        </w:tcPr>
        <w:p w14:paraId="7BC2D6B3" w14:textId="77777777" w:rsidR="0016703E" w:rsidRPr="00CF0ACD" w:rsidRDefault="0016703E" w:rsidP="0016703E">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sidRPr="00CF0ACD">
            <w:rPr>
              <w:rFonts w:ascii="Century Gothic" w:eastAsia="Century Gothic" w:hAnsi="Century Gothic" w:cs="Century Gothic"/>
              <w:color w:val="000000"/>
            </w:rPr>
            <w:t>Código:</w:t>
          </w:r>
        </w:p>
      </w:tc>
      <w:tc>
        <w:tcPr>
          <w:tcW w:w="2002" w:type="dxa"/>
          <w:vAlign w:val="center"/>
        </w:tcPr>
        <w:p w14:paraId="7CB39C9E" w14:textId="43603B32" w:rsidR="0016703E" w:rsidRPr="00CF0ACD" w:rsidRDefault="0016703E" w:rsidP="0016703E">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Pr>
              <w:rFonts w:ascii="Century Gothic" w:eastAsia="Century Gothic" w:hAnsi="Century Gothic" w:cs="Century Gothic"/>
              <w:color w:val="000000"/>
            </w:rPr>
            <w:t>GBU-G-2</w:t>
          </w:r>
        </w:p>
      </w:tc>
    </w:tr>
    <w:tr w:rsidR="0016703E" w:rsidRPr="0000373F" w14:paraId="63C5FB9E" w14:textId="77777777" w:rsidTr="00631437">
      <w:trPr>
        <w:trHeight w:val="375"/>
      </w:trPr>
      <w:tc>
        <w:tcPr>
          <w:tcW w:w="2613" w:type="dxa"/>
          <w:vMerge/>
          <w:shd w:val="clear" w:color="auto" w:fill="auto"/>
          <w:vAlign w:val="bottom"/>
        </w:tcPr>
        <w:p w14:paraId="4CE0E286" w14:textId="77777777" w:rsidR="0016703E" w:rsidRPr="0000373F" w:rsidRDefault="0016703E" w:rsidP="0016703E">
          <w:pPr>
            <w:pBdr>
              <w:top w:val="nil"/>
              <w:left w:val="nil"/>
              <w:bottom w:val="nil"/>
              <w:right w:val="nil"/>
              <w:between w:val="nil"/>
            </w:pBdr>
            <w:tabs>
              <w:tab w:val="center" w:pos="4252"/>
              <w:tab w:val="right" w:pos="8504"/>
            </w:tabs>
            <w:jc w:val="center"/>
            <w:rPr>
              <w:noProof/>
            </w:rPr>
          </w:pPr>
        </w:p>
      </w:tc>
      <w:tc>
        <w:tcPr>
          <w:tcW w:w="4518" w:type="dxa"/>
          <w:vMerge w:val="restart"/>
          <w:shd w:val="clear" w:color="auto" w:fill="auto"/>
          <w:vAlign w:val="center"/>
        </w:tcPr>
        <w:p w14:paraId="5C4F370C" w14:textId="5093491B" w:rsidR="0016703E" w:rsidRPr="00CF0ACD" w:rsidRDefault="005D613B" w:rsidP="00013561">
          <w:pPr>
            <w:spacing w:after="0" w:line="0" w:lineRule="atLeast"/>
            <w:jc w:val="center"/>
            <w:rPr>
              <w:rFonts w:ascii="Century Gothic" w:eastAsia="Century Gothic" w:hAnsi="Century Gothic" w:cs="Century Gothic"/>
            </w:rPr>
          </w:pPr>
          <w:r>
            <w:rPr>
              <w:rFonts w:ascii="Century Gothic" w:eastAsia="Century Gothic" w:hAnsi="Century Gothic" w:cs="Century Gothic"/>
            </w:rPr>
            <w:t xml:space="preserve">GUIA </w:t>
          </w:r>
          <w:r w:rsidR="00013561">
            <w:rPr>
              <w:rFonts w:ascii="Century Gothic" w:eastAsia="Century Gothic" w:hAnsi="Century Gothic" w:cs="Century Gothic"/>
            </w:rPr>
            <w:t xml:space="preserve">DE ATENCION DE </w:t>
          </w:r>
          <w:r>
            <w:rPr>
              <w:rFonts w:ascii="Century Gothic" w:eastAsia="Century Gothic" w:hAnsi="Century Gothic" w:cs="Century Gothic"/>
            </w:rPr>
            <w:t>SINDROME DE INTESTINO IRRITABLE</w:t>
          </w:r>
          <w:r w:rsidR="00013561">
            <w:rPr>
              <w:rFonts w:ascii="Century Gothic" w:eastAsia="Century Gothic" w:hAnsi="Century Gothic" w:cs="Century Gothic"/>
            </w:rPr>
            <w:t xml:space="preserve"> SERVICIOS DE SALUD UCM</w:t>
          </w:r>
        </w:p>
      </w:tc>
      <w:tc>
        <w:tcPr>
          <w:tcW w:w="1276" w:type="dxa"/>
          <w:vAlign w:val="center"/>
        </w:tcPr>
        <w:p w14:paraId="65FF9DF9" w14:textId="77777777" w:rsidR="0016703E" w:rsidRPr="00CF0ACD" w:rsidRDefault="0016703E" w:rsidP="0016703E">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sidRPr="00CF0ACD">
            <w:rPr>
              <w:rFonts w:ascii="Century Gothic" w:eastAsia="Century Gothic" w:hAnsi="Century Gothic" w:cs="Century Gothic"/>
              <w:color w:val="000000"/>
            </w:rPr>
            <w:t>Versión:</w:t>
          </w:r>
        </w:p>
      </w:tc>
      <w:tc>
        <w:tcPr>
          <w:tcW w:w="2002" w:type="dxa"/>
          <w:vAlign w:val="center"/>
        </w:tcPr>
        <w:p w14:paraId="1A5C58C3" w14:textId="77777777" w:rsidR="0016703E" w:rsidRPr="00CF0ACD" w:rsidRDefault="0016703E" w:rsidP="0016703E">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Pr>
              <w:rFonts w:ascii="Century Gothic" w:eastAsia="Century Gothic" w:hAnsi="Century Gothic" w:cs="Century Gothic"/>
              <w:color w:val="000000"/>
            </w:rPr>
            <w:t>4</w:t>
          </w:r>
        </w:p>
      </w:tc>
    </w:tr>
    <w:tr w:rsidR="0016703E" w:rsidRPr="0000373F" w14:paraId="438517E5" w14:textId="77777777" w:rsidTr="00631437">
      <w:trPr>
        <w:trHeight w:val="375"/>
      </w:trPr>
      <w:tc>
        <w:tcPr>
          <w:tcW w:w="2613" w:type="dxa"/>
          <w:vMerge/>
          <w:shd w:val="clear" w:color="auto" w:fill="auto"/>
          <w:vAlign w:val="bottom"/>
        </w:tcPr>
        <w:p w14:paraId="3D52C0E1" w14:textId="77777777" w:rsidR="0016703E" w:rsidRPr="0000373F" w:rsidRDefault="0016703E" w:rsidP="0016703E">
          <w:pPr>
            <w:pBdr>
              <w:top w:val="nil"/>
              <w:left w:val="nil"/>
              <w:bottom w:val="nil"/>
              <w:right w:val="nil"/>
              <w:between w:val="nil"/>
            </w:pBdr>
            <w:tabs>
              <w:tab w:val="center" w:pos="4252"/>
              <w:tab w:val="right" w:pos="8504"/>
            </w:tabs>
            <w:jc w:val="center"/>
            <w:rPr>
              <w:noProof/>
            </w:rPr>
          </w:pPr>
        </w:p>
      </w:tc>
      <w:tc>
        <w:tcPr>
          <w:tcW w:w="4518" w:type="dxa"/>
          <w:vMerge/>
          <w:shd w:val="clear" w:color="auto" w:fill="auto"/>
          <w:vAlign w:val="center"/>
        </w:tcPr>
        <w:p w14:paraId="2ABE4178" w14:textId="77777777" w:rsidR="0016703E" w:rsidRPr="00CF0ACD" w:rsidRDefault="0016703E" w:rsidP="0016703E">
          <w:pPr>
            <w:ind w:hanging="2"/>
            <w:jc w:val="center"/>
            <w:rPr>
              <w:rFonts w:ascii="Century Gothic" w:eastAsia="Century Gothic" w:hAnsi="Century Gothic" w:cs="Century Gothic"/>
              <w:b/>
            </w:rPr>
          </w:pPr>
        </w:p>
      </w:tc>
      <w:tc>
        <w:tcPr>
          <w:tcW w:w="1276" w:type="dxa"/>
          <w:vAlign w:val="center"/>
        </w:tcPr>
        <w:p w14:paraId="5FE2683E" w14:textId="77777777" w:rsidR="0016703E" w:rsidRPr="00CF0ACD" w:rsidRDefault="0016703E" w:rsidP="0016703E">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sidRPr="00CF0ACD">
            <w:rPr>
              <w:rFonts w:ascii="Century Gothic" w:eastAsia="Century Gothic" w:hAnsi="Century Gothic" w:cs="Century Gothic"/>
              <w:color w:val="000000"/>
            </w:rPr>
            <w:t>Página:</w:t>
          </w:r>
        </w:p>
      </w:tc>
      <w:tc>
        <w:tcPr>
          <w:tcW w:w="2002" w:type="dxa"/>
          <w:vAlign w:val="center"/>
        </w:tcPr>
        <w:p w14:paraId="0BC5EF96" w14:textId="77777777" w:rsidR="0016703E" w:rsidRPr="00CF0ACD" w:rsidRDefault="0016703E" w:rsidP="0016703E">
          <w:pPr>
            <w:pBdr>
              <w:top w:val="nil"/>
              <w:left w:val="nil"/>
              <w:bottom w:val="nil"/>
              <w:right w:val="nil"/>
              <w:between w:val="nil"/>
            </w:pBdr>
            <w:tabs>
              <w:tab w:val="center" w:pos="4252"/>
              <w:tab w:val="right" w:pos="8504"/>
            </w:tabs>
            <w:jc w:val="center"/>
            <w:rPr>
              <w:rFonts w:ascii="Century Gothic" w:eastAsia="Century Gothic" w:hAnsi="Century Gothic" w:cs="Century Gothic"/>
              <w:color w:val="000000"/>
            </w:rPr>
          </w:pPr>
          <w:r w:rsidRPr="00CF0ACD">
            <w:rPr>
              <w:rFonts w:ascii="Century Gothic" w:eastAsia="Century Gothic" w:hAnsi="Century Gothic" w:cs="Century Gothic"/>
              <w:color w:val="000000"/>
            </w:rPr>
            <w:fldChar w:fldCharType="begin"/>
          </w:r>
          <w:r w:rsidRPr="00CF0ACD">
            <w:rPr>
              <w:rFonts w:ascii="Century Gothic" w:eastAsia="Century Gothic" w:hAnsi="Century Gothic" w:cs="Century Gothic"/>
              <w:color w:val="000000"/>
            </w:rPr>
            <w:instrText>PAGE</w:instrText>
          </w:r>
          <w:r w:rsidRPr="00CF0ACD">
            <w:rPr>
              <w:rFonts w:ascii="Century Gothic" w:eastAsia="Century Gothic" w:hAnsi="Century Gothic" w:cs="Century Gothic"/>
              <w:color w:val="000000"/>
            </w:rPr>
            <w:fldChar w:fldCharType="separate"/>
          </w:r>
          <w:r w:rsidRPr="00CF0ACD">
            <w:rPr>
              <w:rFonts w:ascii="Century Gothic" w:eastAsia="Century Gothic" w:hAnsi="Century Gothic" w:cs="Century Gothic"/>
              <w:noProof/>
              <w:color w:val="000000"/>
            </w:rPr>
            <w:t>2</w:t>
          </w:r>
          <w:r w:rsidRPr="00CF0ACD">
            <w:rPr>
              <w:rFonts w:ascii="Century Gothic" w:eastAsia="Century Gothic" w:hAnsi="Century Gothic" w:cs="Century Gothic"/>
              <w:color w:val="000000"/>
            </w:rPr>
            <w:fldChar w:fldCharType="end"/>
          </w:r>
          <w:r w:rsidRPr="00CF0ACD">
            <w:rPr>
              <w:rFonts w:ascii="Century Gothic" w:eastAsia="Century Gothic" w:hAnsi="Century Gothic" w:cs="Century Gothic"/>
              <w:color w:val="000000"/>
            </w:rPr>
            <w:t xml:space="preserve"> de </w:t>
          </w:r>
          <w:r w:rsidRPr="00CF0ACD">
            <w:rPr>
              <w:rFonts w:ascii="Century Gothic" w:eastAsia="Century Gothic" w:hAnsi="Century Gothic" w:cs="Century Gothic"/>
              <w:color w:val="000000"/>
            </w:rPr>
            <w:fldChar w:fldCharType="begin"/>
          </w:r>
          <w:r w:rsidRPr="00CF0ACD">
            <w:rPr>
              <w:rFonts w:ascii="Century Gothic" w:eastAsia="Century Gothic" w:hAnsi="Century Gothic" w:cs="Century Gothic"/>
              <w:color w:val="000000"/>
            </w:rPr>
            <w:instrText>NUMPAGES</w:instrText>
          </w:r>
          <w:r w:rsidRPr="00CF0ACD">
            <w:rPr>
              <w:rFonts w:ascii="Century Gothic" w:eastAsia="Century Gothic" w:hAnsi="Century Gothic" w:cs="Century Gothic"/>
              <w:color w:val="000000"/>
            </w:rPr>
            <w:fldChar w:fldCharType="separate"/>
          </w:r>
          <w:r w:rsidRPr="00CF0ACD">
            <w:rPr>
              <w:rFonts w:ascii="Century Gothic" w:eastAsia="Century Gothic" w:hAnsi="Century Gothic" w:cs="Century Gothic"/>
              <w:noProof/>
              <w:color w:val="000000"/>
            </w:rPr>
            <w:t>2</w:t>
          </w:r>
          <w:r w:rsidRPr="00CF0ACD">
            <w:rPr>
              <w:rFonts w:ascii="Century Gothic" w:eastAsia="Century Gothic" w:hAnsi="Century Gothic" w:cs="Century Gothic"/>
              <w:color w:val="000000"/>
            </w:rPr>
            <w:fldChar w:fldCharType="end"/>
          </w:r>
        </w:p>
      </w:tc>
    </w:tr>
  </w:tbl>
  <w:p w14:paraId="74D029D8" w14:textId="77777777" w:rsidR="00F2150C" w:rsidRDefault="00F2150C">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7808F" w14:textId="77777777" w:rsidR="006F678B" w:rsidRDefault="006F678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36EC4"/>
    <w:multiLevelType w:val="multilevel"/>
    <w:tmpl w:val="24C26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5B1047"/>
    <w:multiLevelType w:val="multilevel"/>
    <w:tmpl w:val="35AC64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CA81A18"/>
    <w:multiLevelType w:val="multilevel"/>
    <w:tmpl w:val="67D83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476C62"/>
    <w:multiLevelType w:val="multilevel"/>
    <w:tmpl w:val="7E8C4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F65329"/>
    <w:multiLevelType w:val="multilevel"/>
    <w:tmpl w:val="30A6E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D8218D"/>
    <w:multiLevelType w:val="multilevel"/>
    <w:tmpl w:val="9B9ACD3E"/>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A66CFA"/>
    <w:multiLevelType w:val="multilevel"/>
    <w:tmpl w:val="0D06D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566E63"/>
    <w:multiLevelType w:val="multilevel"/>
    <w:tmpl w:val="4282C392"/>
    <w:lvl w:ilvl="0">
      <w:start w:val="1"/>
      <w:numFmt w:val="bullet"/>
      <w:lvlText w:val="●"/>
      <w:lvlJc w:val="left"/>
      <w:pPr>
        <w:ind w:left="915" w:hanging="360"/>
      </w:pPr>
      <w:rPr>
        <w:rFonts w:ascii="Noto Sans Symbols" w:eastAsia="Noto Sans Symbols" w:hAnsi="Noto Sans Symbols" w:cs="Noto Sans Symbols"/>
      </w:rPr>
    </w:lvl>
    <w:lvl w:ilvl="1">
      <w:start w:val="1"/>
      <w:numFmt w:val="bullet"/>
      <w:lvlText w:val="o"/>
      <w:lvlJc w:val="left"/>
      <w:pPr>
        <w:ind w:left="1635" w:hanging="360"/>
      </w:pPr>
      <w:rPr>
        <w:rFonts w:ascii="Courier New" w:eastAsia="Courier New" w:hAnsi="Courier New" w:cs="Courier New"/>
      </w:rPr>
    </w:lvl>
    <w:lvl w:ilvl="2">
      <w:start w:val="1"/>
      <w:numFmt w:val="bullet"/>
      <w:lvlText w:val="▪"/>
      <w:lvlJc w:val="left"/>
      <w:pPr>
        <w:ind w:left="2355" w:hanging="360"/>
      </w:pPr>
      <w:rPr>
        <w:rFonts w:ascii="Noto Sans Symbols" w:eastAsia="Noto Sans Symbols" w:hAnsi="Noto Sans Symbols" w:cs="Noto Sans Symbols"/>
      </w:rPr>
    </w:lvl>
    <w:lvl w:ilvl="3">
      <w:start w:val="1"/>
      <w:numFmt w:val="bullet"/>
      <w:lvlText w:val="●"/>
      <w:lvlJc w:val="left"/>
      <w:pPr>
        <w:ind w:left="3075" w:hanging="360"/>
      </w:pPr>
      <w:rPr>
        <w:rFonts w:ascii="Noto Sans Symbols" w:eastAsia="Noto Sans Symbols" w:hAnsi="Noto Sans Symbols" w:cs="Noto Sans Symbols"/>
      </w:rPr>
    </w:lvl>
    <w:lvl w:ilvl="4">
      <w:start w:val="1"/>
      <w:numFmt w:val="bullet"/>
      <w:lvlText w:val="o"/>
      <w:lvlJc w:val="left"/>
      <w:pPr>
        <w:ind w:left="3795" w:hanging="360"/>
      </w:pPr>
      <w:rPr>
        <w:rFonts w:ascii="Courier New" w:eastAsia="Courier New" w:hAnsi="Courier New" w:cs="Courier New"/>
      </w:rPr>
    </w:lvl>
    <w:lvl w:ilvl="5">
      <w:start w:val="1"/>
      <w:numFmt w:val="bullet"/>
      <w:lvlText w:val="▪"/>
      <w:lvlJc w:val="left"/>
      <w:pPr>
        <w:ind w:left="4515" w:hanging="360"/>
      </w:pPr>
      <w:rPr>
        <w:rFonts w:ascii="Noto Sans Symbols" w:eastAsia="Noto Sans Symbols" w:hAnsi="Noto Sans Symbols" w:cs="Noto Sans Symbols"/>
      </w:rPr>
    </w:lvl>
    <w:lvl w:ilvl="6">
      <w:start w:val="1"/>
      <w:numFmt w:val="bullet"/>
      <w:lvlText w:val="●"/>
      <w:lvlJc w:val="left"/>
      <w:pPr>
        <w:ind w:left="5235" w:hanging="360"/>
      </w:pPr>
      <w:rPr>
        <w:rFonts w:ascii="Noto Sans Symbols" w:eastAsia="Noto Sans Symbols" w:hAnsi="Noto Sans Symbols" w:cs="Noto Sans Symbols"/>
      </w:rPr>
    </w:lvl>
    <w:lvl w:ilvl="7">
      <w:start w:val="1"/>
      <w:numFmt w:val="bullet"/>
      <w:lvlText w:val="o"/>
      <w:lvlJc w:val="left"/>
      <w:pPr>
        <w:ind w:left="5955" w:hanging="360"/>
      </w:pPr>
      <w:rPr>
        <w:rFonts w:ascii="Courier New" w:eastAsia="Courier New" w:hAnsi="Courier New" w:cs="Courier New"/>
      </w:rPr>
    </w:lvl>
    <w:lvl w:ilvl="8">
      <w:start w:val="1"/>
      <w:numFmt w:val="bullet"/>
      <w:lvlText w:val="▪"/>
      <w:lvlJc w:val="left"/>
      <w:pPr>
        <w:ind w:left="6675" w:hanging="360"/>
      </w:pPr>
      <w:rPr>
        <w:rFonts w:ascii="Noto Sans Symbols" w:eastAsia="Noto Sans Symbols" w:hAnsi="Noto Sans Symbols" w:cs="Noto Sans Symbols"/>
      </w:rPr>
    </w:lvl>
  </w:abstractNum>
  <w:abstractNum w:abstractNumId="8" w15:restartNumberingAfterBreak="0">
    <w:nsid w:val="4B8C0468"/>
    <w:multiLevelType w:val="multilevel"/>
    <w:tmpl w:val="6A5A9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F7053D"/>
    <w:multiLevelType w:val="multilevel"/>
    <w:tmpl w:val="2E721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F1D2D3B"/>
    <w:multiLevelType w:val="multilevel"/>
    <w:tmpl w:val="FEB87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A61642"/>
    <w:multiLevelType w:val="multilevel"/>
    <w:tmpl w:val="1EDEA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11"/>
  </w:num>
  <w:num w:numId="3">
    <w:abstractNumId w:val="6"/>
  </w:num>
  <w:num w:numId="4">
    <w:abstractNumId w:val="4"/>
  </w:num>
  <w:num w:numId="5">
    <w:abstractNumId w:val="9"/>
  </w:num>
  <w:num w:numId="6">
    <w:abstractNumId w:val="2"/>
  </w:num>
  <w:num w:numId="7">
    <w:abstractNumId w:val="5"/>
  </w:num>
  <w:num w:numId="8">
    <w:abstractNumId w:val="3"/>
  </w:num>
  <w:num w:numId="9">
    <w:abstractNumId w:val="10"/>
  </w:num>
  <w:num w:numId="10">
    <w:abstractNumId w:val="1"/>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50C"/>
    <w:rsid w:val="0001302A"/>
    <w:rsid w:val="00013561"/>
    <w:rsid w:val="000505ED"/>
    <w:rsid w:val="00107CAF"/>
    <w:rsid w:val="0016703E"/>
    <w:rsid w:val="0024332A"/>
    <w:rsid w:val="00371E9D"/>
    <w:rsid w:val="003976DD"/>
    <w:rsid w:val="003C43EF"/>
    <w:rsid w:val="00454EA5"/>
    <w:rsid w:val="004636B9"/>
    <w:rsid w:val="00497A99"/>
    <w:rsid w:val="005118D8"/>
    <w:rsid w:val="005D613B"/>
    <w:rsid w:val="00620A4E"/>
    <w:rsid w:val="006E0BC1"/>
    <w:rsid w:val="006F678B"/>
    <w:rsid w:val="008B401B"/>
    <w:rsid w:val="009F68C5"/>
    <w:rsid w:val="00A568CA"/>
    <w:rsid w:val="00B51E8F"/>
    <w:rsid w:val="00BA2086"/>
    <w:rsid w:val="00D84AD5"/>
    <w:rsid w:val="00F2150C"/>
    <w:rsid w:val="00F574A1"/>
    <w:rsid w:val="00FB3DFE"/>
    <w:rsid w:val="00FC4F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9E593"/>
  <w15:docId w15:val="{9B470FED-24B5-4271-AFCB-079165BB8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CC49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rrafodelista">
    <w:name w:val="List Paragraph"/>
    <w:basedOn w:val="Normal"/>
    <w:uiPriority w:val="34"/>
    <w:qFormat/>
    <w:rsid w:val="008F6346"/>
    <w:pPr>
      <w:ind w:left="720"/>
      <w:contextualSpacing/>
    </w:pPr>
  </w:style>
  <w:style w:type="character" w:customStyle="1" w:styleId="Ttulo1Car">
    <w:name w:val="Título 1 Car"/>
    <w:basedOn w:val="Fuentedeprrafopredeter"/>
    <w:link w:val="Ttulo1"/>
    <w:uiPriority w:val="9"/>
    <w:rsid w:val="00CC4910"/>
    <w:rPr>
      <w:rFonts w:ascii="Times New Roman" w:eastAsia="Times New Roman" w:hAnsi="Times New Roman" w:cs="Times New Roman"/>
      <w:b/>
      <w:bCs/>
      <w:kern w:val="36"/>
      <w:sz w:val="48"/>
      <w:szCs w:val="48"/>
      <w:lang w:eastAsia="es-CO"/>
    </w:rPr>
  </w:style>
  <w:style w:type="character" w:styleId="Hipervnculo">
    <w:name w:val="Hyperlink"/>
    <w:basedOn w:val="Fuentedeprrafopredeter"/>
    <w:uiPriority w:val="99"/>
    <w:unhideWhenUsed/>
    <w:rsid w:val="00AB0F2A"/>
    <w:rPr>
      <w:color w:val="0000FF"/>
      <w:u w:val="single"/>
    </w:rPr>
  </w:style>
  <w:style w:type="paragraph" w:styleId="NormalWeb">
    <w:name w:val="Normal (Web)"/>
    <w:basedOn w:val="Normal"/>
    <w:uiPriority w:val="99"/>
    <w:unhideWhenUsed/>
    <w:rsid w:val="000825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082523"/>
  </w:style>
  <w:style w:type="character" w:styleId="Hipervnculovisitado">
    <w:name w:val="FollowedHyperlink"/>
    <w:basedOn w:val="Fuentedeprrafopredeter"/>
    <w:uiPriority w:val="99"/>
    <w:semiHidden/>
    <w:unhideWhenUsed/>
    <w:rsid w:val="00562834"/>
    <w:rPr>
      <w:color w:val="800080" w:themeColor="followedHyperlink"/>
      <w:u w:val="single"/>
    </w:rPr>
  </w:style>
  <w:style w:type="paragraph" w:styleId="Textodeglobo">
    <w:name w:val="Balloon Text"/>
    <w:basedOn w:val="Normal"/>
    <w:link w:val="TextodegloboCar"/>
    <w:uiPriority w:val="99"/>
    <w:semiHidden/>
    <w:unhideWhenUsed/>
    <w:rsid w:val="004B61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61ED"/>
    <w:rPr>
      <w:rFonts w:ascii="Tahoma" w:hAnsi="Tahoma" w:cs="Tahoma"/>
      <w:sz w:val="16"/>
      <w:szCs w:val="16"/>
    </w:rPr>
  </w:style>
  <w:style w:type="paragraph" w:styleId="Encabezado">
    <w:name w:val="header"/>
    <w:basedOn w:val="Normal"/>
    <w:link w:val="EncabezadoCar"/>
    <w:uiPriority w:val="99"/>
    <w:unhideWhenUsed/>
    <w:rsid w:val="00E554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5430"/>
  </w:style>
  <w:style w:type="paragraph" w:styleId="Piedepgina">
    <w:name w:val="footer"/>
    <w:basedOn w:val="Normal"/>
    <w:link w:val="PiedepginaCar"/>
    <w:uiPriority w:val="99"/>
    <w:unhideWhenUsed/>
    <w:rsid w:val="00E554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5430"/>
  </w:style>
  <w:style w:type="paragraph" w:styleId="TtuloTDC">
    <w:name w:val="TOC Heading"/>
    <w:basedOn w:val="Ttulo1"/>
    <w:next w:val="Normal"/>
    <w:uiPriority w:val="39"/>
    <w:unhideWhenUsed/>
    <w:qFormat/>
    <w:rsid w:val="00A1758E"/>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DC1">
    <w:name w:val="toc 1"/>
    <w:basedOn w:val="Normal"/>
    <w:next w:val="Normal"/>
    <w:autoRedefine/>
    <w:uiPriority w:val="39"/>
    <w:unhideWhenUsed/>
    <w:rsid w:val="00A1758E"/>
    <w:pPr>
      <w:spacing w:after="100"/>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70" w:type="dxa"/>
        <w:right w:w="70"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9666C4"/>
    <w:rPr>
      <w:b/>
      <w:bCs/>
    </w:rPr>
  </w:style>
  <w:style w:type="character" w:customStyle="1" w:styleId="AsuntodelcomentarioCar">
    <w:name w:val="Asunto del comentario Car"/>
    <w:basedOn w:val="TextocomentarioCar"/>
    <w:link w:val="Asuntodelcomentario"/>
    <w:uiPriority w:val="99"/>
    <w:semiHidden/>
    <w:rsid w:val="009666C4"/>
    <w:rPr>
      <w:b/>
      <w:bCs/>
      <w:sz w:val="20"/>
      <w:szCs w:val="20"/>
    </w:rPr>
  </w:style>
  <w:style w:type="character" w:styleId="Textodelmarcadordeposicin">
    <w:name w:val="Placeholder Text"/>
    <w:basedOn w:val="Fuentedeprrafopredeter"/>
    <w:uiPriority w:val="99"/>
    <w:semiHidden/>
    <w:rsid w:val="009666C4"/>
    <w:rPr>
      <w:color w:val="666666"/>
    </w:rPr>
  </w:style>
  <w:style w:type="character" w:styleId="Mencinsinresolver">
    <w:name w:val="Unresolved Mention"/>
    <w:basedOn w:val="Fuentedeprrafopredeter"/>
    <w:uiPriority w:val="99"/>
    <w:semiHidden/>
    <w:unhideWhenUsed/>
    <w:rsid w:val="009666C4"/>
    <w:rPr>
      <w:color w:val="605E5C"/>
      <w:shd w:val="clear" w:color="auto" w:fill="E1DFDD"/>
    </w:r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paragraph" w:styleId="Sinespaciado">
    <w:name w:val="No Spacing"/>
    <w:uiPriority w:val="1"/>
    <w:qFormat/>
    <w:rsid w:val="00FC4F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mendeley.com/catalogue/0b44a56a-34d0-3cd4-9067-603d664edc99/" TargetMode="External"/><Relationship Id="rId18" Type="http://schemas.openxmlformats.org/officeDocument/2006/relationships/hyperlink" Target="https://pubmed.ncbi.nlm.nih.gov/16678561/" TargetMode="External"/><Relationship Id="rId26" Type="http://schemas.openxmlformats.org/officeDocument/2006/relationships/hyperlink" Target="http://dx.doi.org/10.1111/apt.13746" TargetMode="External"/><Relationship Id="rId39" Type="http://schemas.openxmlformats.org/officeDocument/2006/relationships/hyperlink" Target="https://pubmed.ncbi.nlm.nih.gov/17665250/" TargetMode="External"/><Relationship Id="rId21" Type="http://schemas.openxmlformats.org/officeDocument/2006/relationships/hyperlink" Target="https://www.bmj.com/content/bmj/2/6138/653.full.pdf" TargetMode="External"/><Relationship Id="rId34" Type="http://schemas.openxmlformats.org/officeDocument/2006/relationships/hyperlink" Target="https://pubmed.ncbi.nlm.nih.gov/23421551/" TargetMode="External"/><Relationship Id="rId42" Type="http://schemas.openxmlformats.org/officeDocument/2006/relationships/hyperlink" Target="http://dx.doi.org/10.1053/j.gastro.2013.04.051" TargetMode="External"/><Relationship Id="rId47" Type="http://schemas.openxmlformats.org/officeDocument/2006/relationships/hyperlink" Target="https://pubmed.ncbi.nlm.nih.gov/18987031/" TargetMode="External"/><Relationship Id="rId50" Type="http://schemas.openxmlformats.org/officeDocument/2006/relationships/hyperlink" Target="http://dx.doi.org/10.1111/j.1365-2036.2005.02566.x"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x.doi.org/10.1016/j.cgh.2012.02.029" TargetMode="External"/><Relationship Id="rId29" Type="http://schemas.openxmlformats.org/officeDocument/2006/relationships/hyperlink" Target="https://pubmed.ncbi.nlm.nih.gov/28374308/" TargetMode="External"/><Relationship Id="rId11" Type="http://schemas.openxmlformats.org/officeDocument/2006/relationships/image" Target="media/image4.png"/><Relationship Id="rId24" Type="http://schemas.openxmlformats.org/officeDocument/2006/relationships/hyperlink" Target="http://dx.doi.org/10.1046/j.1365-2036.1997.142318000.x" TargetMode="External"/><Relationship Id="rId32" Type="http://schemas.openxmlformats.org/officeDocument/2006/relationships/hyperlink" Target="https://pubmed.ncbi.nlm.nih.gov/25022811/" TargetMode="External"/><Relationship Id="rId37" Type="http://schemas.openxmlformats.org/officeDocument/2006/relationships/hyperlink" Target="https://pubmed.ncbi.nlm.nih.gov/21206488/" TargetMode="External"/><Relationship Id="rId40" Type="http://schemas.openxmlformats.org/officeDocument/2006/relationships/hyperlink" Target="https://pubmed.ncbi.nlm.nih.gov/21724490/" TargetMode="External"/><Relationship Id="rId45" Type="http://schemas.openxmlformats.org/officeDocument/2006/relationships/hyperlink" Target="https://pubmed.ncbi.nlm.nih.gov/20614462/" TargetMode="External"/><Relationship Id="rId53" Type="http://schemas.openxmlformats.org/officeDocument/2006/relationships/footer" Target="footer1.xml"/><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hyperlink" Target="https://jamanetwork.com/journals/jama/article-abstract/217403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cielo.isciii.es/pdf/diges/v108n6/especial.pdf" TargetMode="External"/><Relationship Id="rId22" Type="http://schemas.openxmlformats.org/officeDocument/2006/relationships/hyperlink" Target="http://dx.doi.org/10.3109/00365529709011203" TargetMode="External"/><Relationship Id="rId27" Type="http://schemas.openxmlformats.org/officeDocument/2006/relationships/hyperlink" Target="http://dx.doi.org/10.1111/j.1365-2036.2006.03238.x" TargetMode="External"/><Relationship Id="rId30" Type="http://schemas.openxmlformats.org/officeDocument/2006/relationships/hyperlink" Target="http://dx.doi.org/10.1053/j.gastro.2016.02.031" TargetMode="External"/><Relationship Id="rId35" Type="http://schemas.openxmlformats.org/officeDocument/2006/relationships/hyperlink" Target="https://pubmed.ncbi.nlm.nih.gov/17029608/" TargetMode="External"/><Relationship Id="rId43" Type="http://schemas.openxmlformats.org/officeDocument/2006/relationships/hyperlink" Target="https://pubmed.ncbi.nlm.nih.gov/19575740/" TargetMode="External"/><Relationship Id="rId48" Type="http://schemas.openxmlformats.org/officeDocument/2006/relationships/hyperlink" Target="http://dx.doi.org/10.1111/j.1365-2036.2008.03884.x" TargetMode="External"/><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journals.lww.com/ajg/abstract/2012/07000/effect_of_gender_on_prevalence_of_irritable_bowel.9.aspx" TargetMode="External"/><Relationship Id="rId25" Type="http://schemas.openxmlformats.org/officeDocument/2006/relationships/hyperlink" Target="https://scielo.isciii.es/scielo.php?script=sci_arttext&amp;pid=S1130-01082011001200002&amp;lng=en&amp;nrm=iso&amp;tlng=en" TargetMode="External"/><Relationship Id="rId33" Type="http://schemas.openxmlformats.org/officeDocument/2006/relationships/hyperlink" Target="http://dx.doi.org/10.1016/j.bpg.2010.11.001" TargetMode="External"/><Relationship Id="rId38" Type="http://schemas.openxmlformats.org/officeDocument/2006/relationships/hyperlink" Target="http://dx.doi.org/10.3748/wjg.v18.i14.1555" TargetMode="External"/><Relationship Id="rId46" Type="http://schemas.openxmlformats.org/officeDocument/2006/relationships/hyperlink" Target="http://dx.doi.org/10.1056/nejmoa0800670" TargetMode="External"/><Relationship Id="rId59" Type="http://schemas.openxmlformats.org/officeDocument/2006/relationships/theme" Target="theme/theme1.xml"/><Relationship Id="rId20" Type="http://schemas.openxmlformats.org/officeDocument/2006/relationships/hyperlink" Target="http://dx.doi.org/10.1016/s0210-5705(03)70470-1" TargetMode="External"/><Relationship Id="rId41" Type="http://schemas.openxmlformats.org/officeDocument/2006/relationships/hyperlink" Target="https://pubmed.ncbi.nlm.nih.gov/22825366/"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gyf.org/wp-content/uploads/2017/revistas/v6n1/mgyf_v6n1_2017_005.pdf" TargetMode="External"/><Relationship Id="rId23" Type="http://schemas.openxmlformats.org/officeDocument/2006/relationships/hyperlink" Target="http://dx.doi.org/10.3109/0036552970901120" TargetMode="External"/><Relationship Id="rId28" Type="http://schemas.openxmlformats.org/officeDocument/2006/relationships/hyperlink" Target="http://www.scielo.org.pe/scielo.php?script=sci_arttext&amp;pid=S1022-51292021000300144" TargetMode="External"/><Relationship Id="rId36" Type="http://schemas.openxmlformats.org/officeDocument/2006/relationships/hyperlink" Target="https://www.wjgnet.com/1007-9327/full/v21/i2/600.htm" TargetMode="External"/><Relationship Id="rId49" Type="http://schemas.openxmlformats.org/officeDocument/2006/relationships/hyperlink" Target="https://pubmed.ncbi.nlm.nih.gov/19001059/"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dx.doi.org/10.1053/j.gastro.2005.11.064" TargetMode="External"/><Relationship Id="rId44" Type="http://schemas.openxmlformats.org/officeDocument/2006/relationships/hyperlink" Target="https://pubmed.ncbi.nlm.nih.gov/23835436/" TargetMode="External"/><Relationship Id="rId5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727D4A5-787E-41AB-B038-B8972626090B}"/>
      </w:docPartPr>
      <w:docPartBody>
        <w:p w:rsidR="0063282A" w:rsidRDefault="0063282A">
          <w:r w:rsidRPr="0034049E">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82A"/>
    <w:rsid w:val="00371E9D"/>
    <w:rsid w:val="003C43EF"/>
    <w:rsid w:val="00454EA5"/>
    <w:rsid w:val="004A0CC7"/>
    <w:rsid w:val="0063282A"/>
    <w:rsid w:val="00FB3D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3282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aI3UZivuxKTzY+Ti1GV3lqZ4jg==">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21</Pages>
  <Words>4919</Words>
  <Characters>27060</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 Office User</cp:lastModifiedBy>
  <cp:revision>14</cp:revision>
  <dcterms:created xsi:type="dcterms:W3CDTF">2024-05-27T20:20:00Z</dcterms:created>
  <dcterms:modified xsi:type="dcterms:W3CDTF">2025-02-17T16:35:00Z</dcterms:modified>
</cp:coreProperties>
</file>