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760"/>
      </w:tblGrid>
      <w:tr w:rsidR="009915BE" w:rsidRPr="00220232" w14:paraId="64FD1330" w14:textId="77777777">
        <w:trPr>
          <w:trHeight w:val="1397"/>
        </w:trPr>
        <w:tc>
          <w:tcPr>
            <w:tcW w:w="2235" w:type="dxa"/>
            <w:shd w:val="clear" w:color="auto" w:fill="D9D9D9"/>
            <w:vAlign w:val="center"/>
          </w:tcPr>
          <w:p w14:paraId="7A3510F4" w14:textId="2DD07334" w:rsidR="009915BE" w:rsidRPr="00220232" w:rsidRDefault="003A4E24">
            <w:pPr>
              <w:jc w:val="center"/>
              <w:rPr>
                <w:b/>
                <w:sz w:val="22"/>
                <w:szCs w:val="22"/>
              </w:rPr>
            </w:pPr>
            <w:r w:rsidRPr="00220232">
              <w:t xml:space="preserve">   </w:t>
            </w:r>
            <w:r w:rsidRPr="00220232">
              <w:rPr>
                <w:b/>
                <w:sz w:val="22"/>
                <w:szCs w:val="22"/>
              </w:rPr>
              <w:t>OBJETIVO</w:t>
            </w:r>
          </w:p>
        </w:tc>
        <w:tc>
          <w:tcPr>
            <w:tcW w:w="11760" w:type="dxa"/>
            <w:vAlign w:val="center"/>
          </w:tcPr>
          <w:p w14:paraId="60D84C89" w14:textId="4059299F" w:rsidR="009915BE" w:rsidRPr="00220232" w:rsidRDefault="00A30D2F">
            <w:pPr>
              <w:jc w:val="both"/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A82841">
              <w:rPr>
                <w:rFonts w:cs="Arial"/>
                <w:sz w:val="22"/>
                <w:szCs w:val="22"/>
              </w:rPr>
              <w:t xml:space="preserve">Definir y asegurar el cumplimiento de políticas, lineamentos y procedimientos relacionados con la gestión y administración documental en la institución </w:t>
            </w:r>
            <w:r w:rsidRPr="00A82841">
              <w:rPr>
                <w:rFonts w:cs="Arial"/>
                <w:sz w:val="22"/>
                <w:szCs w:val="22"/>
                <w:lang w:val="es-CO"/>
              </w:rPr>
              <w:t>garantizando el flujo y disposición de la información en forma ágil y oportuna.</w:t>
            </w:r>
          </w:p>
        </w:tc>
      </w:tr>
    </w:tbl>
    <w:p w14:paraId="14E4937D" w14:textId="35620A9E" w:rsidR="009915BE" w:rsidRPr="00220232" w:rsidRDefault="009915BE">
      <w:pPr>
        <w:rPr>
          <w:sz w:val="22"/>
          <w:szCs w:val="22"/>
        </w:rPr>
      </w:pPr>
      <w:bookmarkStart w:id="1" w:name="_GoBack"/>
      <w:bookmarkEnd w:id="1"/>
    </w:p>
    <w:tbl>
      <w:tblPr>
        <w:tblStyle w:val="a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760"/>
      </w:tblGrid>
      <w:tr w:rsidR="009915BE" w:rsidRPr="00220232" w14:paraId="0B97CFA3" w14:textId="77777777">
        <w:tc>
          <w:tcPr>
            <w:tcW w:w="2235" w:type="dxa"/>
            <w:shd w:val="clear" w:color="auto" w:fill="D9D9D9"/>
            <w:vAlign w:val="center"/>
          </w:tcPr>
          <w:p w14:paraId="1FFAD00B" w14:textId="77777777" w:rsidR="009915BE" w:rsidRPr="00220232" w:rsidRDefault="003A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20232">
              <w:rPr>
                <w:b/>
                <w:sz w:val="22"/>
                <w:szCs w:val="22"/>
              </w:rPr>
              <w:t>LÍDER DE PROCESO</w:t>
            </w:r>
          </w:p>
        </w:tc>
        <w:tc>
          <w:tcPr>
            <w:tcW w:w="11760" w:type="dxa"/>
          </w:tcPr>
          <w:p w14:paraId="740C0139" w14:textId="2F0B8EB8" w:rsidR="009915BE" w:rsidRPr="00220232" w:rsidRDefault="00A30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>Coordinador de Gestión Documental</w:t>
            </w:r>
          </w:p>
        </w:tc>
      </w:tr>
      <w:tr w:rsidR="009915BE" w:rsidRPr="00220232" w14:paraId="100EB359" w14:textId="77777777">
        <w:tc>
          <w:tcPr>
            <w:tcW w:w="2235" w:type="dxa"/>
            <w:shd w:val="clear" w:color="auto" w:fill="D9D9D9"/>
            <w:vAlign w:val="center"/>
          </w:tcPr>
          <w:p w14:paraId="5A05514B" w14:textId="77777777" w:rsidR="009915BE" w:rsidRPr="00220232" w:rsidRDefault="003A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20232">
              <w:rPr>
                <w:b/>
                <w:sz w:val="22"/>
                <w:szCs w:val="22"/>
              </w:rPr>
              <w:t>GRUPOS QUE PARTICIPAN EN EL PROCESO:</w:t>
            </w:r>
          </w:p>
        </w:tc>
        <w:tc>
          <w:tcPr>
            <w:tcW w:w="11760" w:type="dxa"/>
          </w:tcPr>
          <w:p w14:paraId="190C831D" w14:textId="1B4F2D99" w:rsidR="009915BE" w:rsidRPr="00220232" w:rsidRDefault="00A30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>Secretaria general, Decanos, Directores de programas, Directores de Centros e Institutos, Coordinadores de Unidades, Secretarias, Asistentes.</w:t>
            </w:r>
          </w:p>
        </w:tc>
      </w:tr>
    </w:tbl>
    <w:p w14:paraId="1F031F92" w14:textId="77777777" w:rsidR="009915BE" w:rsidRPr="00220232" w:rsidRDefault="009915BE">
      <w:pPr>
        <w:pBdr>
          <w:top w:val="nil"/>
          <w:left w:val="nil"/>
          <w:bottom w:val="nil"/>
          <w:right w:val="nil"/>
          <w:between w:val="nil"/>
        </w:pBdr>
        <w:ind w:left="708"/>
        <w:rPr>
          <w:sz w:val="22"/>
          <w:szCs w:val="22"/>
        </w:rPr>
      </w:pPr>
    </w:p>
    <w:p w14:paraId="64460EDC" w14:textId="77777777" w:rsidR="009915BE" w:rsidRPr="00220232" w:rsidRDefault="009915BE">
      <w:pPr>
        <w:rPr>
          <w:sz w:val="22"/>
          <w:szCs w:val="22"/>
        </w:rPr>
      </w:pPr>
    </w:p>
    <w:tbl>
      <w:tblPr>
        <w:tblStyle w:val="ab"/>
        <w:tblW w:w="1399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1"/>
        <w:gridCol w:w="2401"/>
        <w:gridCol w:w="2835"/>
        <w:gridCol w:w="3505"/>
        <w:gridCol w:w="2090"/>
      </w:tblGrid>
      <w:tr w:rsidR="009915BE" w:rsidRPr="00220232" w14:paraId="2D9AD4C8" w14:textId="77777777" w:rsidTr="00220232">
        <w:trPr>
          <w:trHeight w:val="397"/>
        </w:trPr>
        <w:tc>
          <w:tcPr>
            <w:tcW w:w="3161" w:type="dxa"/>
            <w:shd w:val="clear" w:color="auto" w:fill="C0C0C0"/>
            <w:vAlign w:val="center"/>
          </w:tcPr>
          <w:p w14:paraId="6EB4FF96" w14:textId="77777777" w:rsidR="009915BE" w:rsidRPr="00220232" w:rsidRDefault="003A4E24">
            <w:pPr>
              <w:jc w:val="center"/>
              <w:rPr>
                <w:sz w:val="22"/>
                <w:szCs w:val="22"/>
              </w:rPr>
            </w:pPr>
            <w:r w:rsidRPr="00220232">
              <w:rPr>
                <w:b/>
                <w:sz w:val="22"/>
                <w:szCs w:val="22"/>
              </w:rPr>
              <w:t>PROVEEDOR/ PROCESO</w:t>
            </w:r>
          </w:p>
        </w:tc>
        <w:tc>
          <w:tcPr>
            <w:tcW w:w="2401" w:type="dxa"/>
            <w:shd w:val="clear" w:color="auto" w:fill="C0C0C0"/>
            <w:vAlign w:val="center"/>
          </w:tcPr>
          <w:p w14:paraId="30BE0C63" w14:textId="77777777" w:rsidR="009915BE" w:rsidRPr="00220232" w:rsidRDefault="003A4E24">
            <w:pPr>
              <w:jc w:val="center"/>
              <w:rPr>
                <w:sz w:val="22"/>
                <w:szCs w:val="22"/>
              </w:rPr>
            </w:pPr>
            <w:r w:rsidRPr="00220232">
              <w:rPr>
                <w:b/>
                <w:sz w:val="22"/>
                <w:szCs w:val="22"/>
              </w:rPr>
              <w:t>ENTRADA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05EE0537" w14:textId="77777777" w:rsidR="009915BE" w:rsidRPr="00220232" w:rsidRDefault="003A4E24">
            <w:pPr>
              <w:jc w:val="center"/>
              <w:rPr>
                <w:b/>
                <w:sz w:val="22"/>
                <w:szCs w:val="22"/>
              </w:rPr>
            </w:pPr>
            <w:r w:rsidRPr="00220232">
              <w:rPr>
                <w:b/>
                <w:sz w:val="22"/>
                <w:szCs w:val="22"/>
              </w:rPr>
              <w:t>PROCEDIMIENTO</w:t>
            </w:r>
          </w:p>
        </w:tc>
        <w:tc>
          <w:tcPr>
            <w:tcW w:w="3505" w:type="dxa"/>
            <w:shd w:val="clear" w:color="auto" w:fill="C0C0C0"/>
            <w:vAlign w:val="center"/>
          </w:tcPr>
          <w:p w14:paraId="174ABAE4" w14:textId="77777777" w:rsidR="009915BE" w:rsidRPr="00220232" w:rsidRDefault="003A4E24">
            <w:pPr>
              <w:jc w:val="center"/>
              <w:rPr>
                <w:sz w:val="22"/>
                <w:szCs w:val="22"/>
              </w:rPr>
            </w:pPr>
            <w:r w:rsidRPr="00220232">
              <w:rPr>
                <w:b/>
                <w:sz w:val="22"/>
                <w:szCs w:val="22"/>
              </w:rPr>
              <w:t>SALIDA / REGISTROS</w:t>
            </w:r>
          </w:p>
        </w:tc>
        <w:tc>
          <w:tcPr>
            <w:tcW w:w="2090" w:type="dxa"/>
            <w:shd w:val="clear" w:color="auto" w:fill="C0C0C0"/>
            <w:vAlign w:val="center"/>
          </w:tcPr>
          <w:p w14:paraId="28F0813D" w14:textId="77777777" w:rsidR="009915BE" w:rsidRPr="00220232" w:rsidRDefault="003A4E24">
            <w:pPr>
              <w:jc w:val="center"/>
              <w:rPr>
                <w:sz w:val="22"/>
                <w:szCs w:val="22"/>
              </w:rPr>
            </w:pPr>
            <w:r w:rsidRPr="00220232">
              <w:rPr>
                <w:b/>
                <w:sz w:val="22"/>
                <w:szCs w:val="22"/>
              </w:rPr>
              <w:t>GRUPOS DE INTERÉS</w:t>
            </w:r>
          </w:p>
        </w:tc>
      </w:tr>
      <w:tr w:rsidR="00F73446" w:rsidRPr="00220232" w14:paraId="3339A899" w14:textId="77777777" w:rsidTr="00F73446">
        <w:trPr>
          <w:trHeight w:val="814"/>
        </w:trPr>
        <w:tc>
          <w:tcPr>
            <w:tcW w:w="3161" w:type="dxa"/>
            <w:vAlign w:val="center"/>
          </w:tcPr>
          <w:p w14:paraId="5E8748D0" w14:textId="77777777" w:rsidR="004A5CC9" w:rsidRDefault="004A5CC9" w:rsidP="004A5C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Proveedor Interno:</w:t>
            </w:r>
          </w:p>
          <w:p w14:paraId="070141F0" w14:textId="77777777" w:rsidR="004A5CC9" w:rsidRDefault="004A5CC9" w:rsidP="004A5C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Comunidad UCM</w:t>
            </w:r>
          </w:p>
          <w:p w14:paraId="564B36A7" w14:textId="77777777" w:rsidR="004A5CC9" w:rsidRDefault="004A5CC9" w:rsidP="004A5CC9">
            <w:pPr>
              <w:jc w:val="center"/>
              <w:rPr>
                <w:bCs/>
                <w:sz w:val="22"/>
                <w:szCs w:val="22"/>
              </w:rPr>
            </w:pPr>
          </w:p>
          <w:p w14:paraId="1E7C93CA" w14:textId="77777777" w:rsidR="004A5CC9" w:rsidRDefault="004A5CC9" w:rsidP="004A5CC9">
            <w:pPr>
              <w:jc w:val="center"/>
              <w:rPr>
                <w:bCs/>
                <w:sz w:val="22"/>
                <w:szCs w:val="22"/>
              </w:rPr>
            </w:pPr>
          </w:p>
          <w:p w14:paraId="2C3E6E2C" w14:textId="77777777" w:rsidR="004A5CC9" w:rsidRDefault="004A5CC9" w:rsidP="004A5C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Proveedor Externo:</w:t>
            </w:r>
          </w:p>
          <w:p w14:paraId="721553E4" w14:textId="77777777" w:rsidR="004A5CC9" w:rsidRDefault="004A5CC9" w:rsidP="004A5C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Usuario externo</w:t>
            </w:r>
          </w:p>
          <w:p w14:paraId="2AD9AFA5" w14:textId="77777777" w:rsidR="00F73446" w:rsidRDefault="00F73446" w:rsidP="000707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14:paraId="368CD1A0" w14:textId="77777777" w:rsidR="004A5CC9" w:rsidRDefault="004A5CC9" w:rsidP="004A5C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Manual de producción documental</w:t>
            </w:r>
          </w:p>
          <w:p w14:paraId="7C341A57" w14:textId="77777777" w:rsidR="00F73446" w:rsidRDefault="00F73446" w:rsidP="000707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75E36DCB" w14:textId="1D94823C" w:rsidR="00F73446" w:rsidRPr="00A10A9D" w:rsidRDefault="004A5CC9" w:rsidP="00F73446">
            <w:pPr>
              <w:jc w:val="center"/>
              <w:rPr>
                <w:b/>
                <w:sz w:val="22"/>
                <w:szCs w:val="22"/>
              </w:rPr>
            </w:pPr>
            <w:r w:rsidRPr="00A10A9D">
              <w:rPr>
                <w:b/>
                <w:sz w:val="22"/>
                <w:szCs w:val="22"/>
              </w:rPr>
              <w:t>Procedimiento para la Producción Documental</w:t>
            </w:r>
          </w:p>
        </w:tc>
        <w:tc>
          <w:tcPr>
            <w:tcW w:w="3505" w:type="dxa"/>
          </w:tcPr>
          <w:p w14:paraId="30F7FE0E" w14:textId="2525D83F" w:rsidR="00F73446" w:rsidRDefault="004A5CC9" w:rsidP="00F734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Formatos del SAIA diligenciados</w:t>
            </w:r>
          </w:p>
        </w:tc>
        <w:tc>
          <w:tcPr>
            <w:tcW w:w="2090" w:type="dxa"/>
            <w:vAlign w:val="center"/>
          </w:tcPr>
          <w:p w14:paraId="18959ABC" w14:textId="77777777" w:rsidR="004A5CC9" w:rsidRDefault="004A5CC9" w:rsidP="004A5C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Cliente Interno:</w:t>
            </w:r>
          </w:p>
          <w:p w14:paraId="3E5DE18C" w14:textId="77777777" w:rsidR="004A5CC9" w:rsidRDefault="004A5CC9" w:rsidP="004A5C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Comunidad UCM</w:t>
            </w:r>
          </w:p>
          <w:p w14:paraId="32A27F61" w14:textId="77777777" w:rsidR="004A5CC9" w:rsidRDefault="004A5CC9" w:rsidP="004A5C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Secretaria General</w:t>
            </w:r>
          </w:p>
          <w:p w14:paraId="20778778" w14:textId="77777777" w:rsidR="004A5CC9" w:rsidRDefault="004A5CC9" w:rsidP="004A5C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Cliente Externo:</w:t>
            </w:r>
          </w:p>
          <w:p w14:paraId="2494BD5E" w14:textId="77777777" w:rsidR="004A5CC9" w:rsidRDefault="004A5CC9" w:rsidP="004A5C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Ministerio de Educación</w:t>
            </w:r>
          </w:p>
          <w:p w14:paraId="7D822231" w14:textId="35466A5A" w:rsidR="004A5CC9" w:rsidRDefault="004A5CC9" w:rsidP="004A5C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Archivo General de la Nación</w:t>
            </w:r>
          </w:p>
          <w:p w14:paraId="696AD8C2" w14:textId="4E6BC9DA" w:rsidR="00492503" w:rsidRDefault="00492503" w:rsidP="004A5C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Usuario externo</w:t>
            </w:r>
          </w:p>
          <w:p w14:paraId="34DA3BEC" w14:textId="77777777" w:rsidR="00F73446" w:rsidRDefault="00F73446" w:rsidP="000707C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7016A" w:rsidRPr="00220232" w14:paraId="14EC6F3D" w14:textId="77777777" w:rsidTr="002865E9">
        <w:trPr>
          <w:trHeight w:val="814"/>
        </w:trPr>
        <w:tc>
          <w:tcPr>
            <w:tcW w:w="3161" w:type="dxa"/>
            <w:vAlign w:val="center"/>
          </w:tcPr>
          <w:p w14:paraId="59F12FA3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Proveedor Interno:</w:t>
            </w:r>
          </w:p>
          <w:p w14:paraId="14BD62D3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Comunidad UCM</w:t>
            </w:r>
          </w:p>
          <w:p w14:paraId="4084EDA0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  <w:p w14:paraId="469CFD13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  <w:p w14:paraId="0FA5959A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Proveedor Externo:</w:t>
            </w:r>
          </w:p>
          <w:p w14:paraId="5E68E44C" w14:textId="77777777" w:rsidR="0047016A" w:rsidRPr="00220232" w:rsidRDefault="0047016A" w:rsidP="0047016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Usuario externo</w:t>
            </w:r>
          </w:p>
          <w:p w14:paraId="790B3004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  <w:p w14:paraId="3D3E05AF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  <w:p w14:paraId="0F6CEAB6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  <w:p w14:paraId="6074FD51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  <w:p w14:paraId="0326E4EC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  <w:p w14:paraId="1BF6E9BA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1" w:type="dxa"/>
          </w:tcPr>
          <w:p w14:paraId="0628D2B5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Manual de producción documental</w:t>
            </w:r>
          </w:p>
          <w:p w14:paraId="67281A3C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  <w:p w14:paraId="08834E47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Documentos internos</w:t>
            </w:r>
          </w:p>
          <w:p w14:paraId="305E9FDC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  <w:p w14:paraId="392778E3" w14:textId="77777777" w:rsidR="0047016A" w:rsidRPr="00220232" w:rsidRDefault="0047016A" w:rsidP="0047016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Paquetería</w:t>
            </w:r>
          </w:p>
          <w:p w14:paraId="3A557E9F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  <w:p w14:paraId="6A714049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BC27CF" w14:textId="7CE771A6" w:rsidR="0047016A" w:rsidRPr="00A10A9D" w:rsidRDefault="0047016A" w:rsidP="0047016A">
            <w:pPr>
              <w:jc w:val="center"/>
              <w:rPr>
                <w:b/>
                <w:sz w:val="22"/>
                <w:szCs w:val="22"/>
              </w:rPr>
            </w:pPr>
            <w:r w:rsidRPr="00A10A9D">
              <w:rPr>
                <w:b/>
                <w:sz w:val="22"/>
                <w:szCs w:val="22"/>
              </w:rPr>
              <w:lastRenderedPageBreak/>
              <w:t>Procedimiento para la Recepción y Distribución de la Correspondencia Recibida</w:t>
            </w:r>
          </w:p>
        </w:tc>
        <w:tc>
          <w:tcPr>
            <w:tcW w:w="3505" w:type="dxa"/>
          </w:tcPr>
          <w:p w14:paraId="55FFEFFB" w14:textId="77777777" w:rsidR="0047016A" w:rsidRDefault="0047016A" w:rsidP="0047016A">
            <w:pPr>
              <w:jc w:val="center"/>
              <w:rPr>
                <w:sz w:val="22"/>
                <w:szCs w:val="22"/>
              </w:rPr>
            </w:pPr>
            <w:r w:rsidRPr="00C355CF">
              <w:rPr>
                <w:sz w:val="22"/>
                <w:szCs w:val="22"/>
              </w:rPr>
              <w:t>Planilla de entrega de correspondencia externa</w:t>
            </w:r>
          </w:p>
          <w:p w14:paraId="56A641A1" w14:textId="77777777" w:rsidR="0047016A" w:rsidRDefault="0047016A" w:rsidP="0047016A">
            <w:pPr>
              <w:jc w:val="center"/>
              <w:rPr>
                <w:sz w:val="22"/>
                <w:szCs w:val="22"/>
              </w:rPr>
            </w:pPr>
          </w:p>
          <w:p w14:paraId="4330A856" w14:textId="77777777" w:rsidR="0047016A" w:rsidRDefault="0047016A" w:rsidP="00470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Consecutivos de Radicación </w:t>
            </w:r>
          </w:p>
          <w:p w14:paraId="3CB6C5D5" w14:textId="77777777" w:rsidR="0047016A" w:rsidRDefault="0047016A" w:rsidP="00470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SAIA</w:t>
            </w:r>
          </w:p>
          <w:p w14:paraId="6E4FEA44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14:paraId="50268983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Cliente Interno:</w:t>
            </w:r>
          </w:p>
          <w:p w14:paraId="71763B8E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Comunidad UCM</w:t>
            </w:r>
          </w:p>
          <w:p w14:paraId="5FD7B60A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Secretaria General</w:t>
            </w:r>
          </w:p>
          <w:p w14:paraId="716F766C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  <w:p w14:paraId="5C1EF070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Cliente Externo:</w:t>
            </w:r>
          </w:p>
          <w:p w14:paraId="29FAE569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Ministerio de Educación</w:t>
            </w:r>
          </w:p>
          <w:p w14:paraId="193FB621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Archivo General de la Nación</w:t>
            </w:r>
          </w:p>
          <w:p w14:paraId="0ADB2A24" w14:textId="3C3AC051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Usuario externo</w:t>
            </w:r>
          </w:p>
        </w:tc>
      </w:tr>
      <w:tr w:rsidR="0047016A" w:rsidRPr="00220232" w14:paraId="0494C8CD" w14:textId="77777777" w:rsidTr="00702ACB">
        <w:trPr>
          <w:trHeight w:val="814"/>
        </w:trPr>
        <w:tc>
          <w:tcPr>
            <w:tcW w:w="3161" w:type="dxa"/>
            <w:vAlign w:val="center"/>
          </w:tcPr>
          <w:p w14:paraId="0AD41CAD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Proveedor Interno:</w:t>
            </w:r>
          </w:p>
          <w:p w14:paraId="065CBD0B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Comunidad UCM</w:t>
            </w:r>
          </w:p>
          <w:p w14:paraId="2ECCF835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  <w:p w14:paraId="085ADF5A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  <w:p w14:paraId="213727DC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Proveedor Externo:</w:t>
            </w:r>
          </w:p>
          <w:p w14:paraId="5C00E42F" w14:textId="77777777" w:rsidR="0047016A" w:rsidRPr="00220232" w:rsidRDefault="0047016A" w:rsidP="0047016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Usuario externo</w:t>
            </w:r>
          </w:p>
          <w:p w14:paraId="293EC0EF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  <w:p w14:paraId="677C4CD7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  <w:p w14:paraId="269CC0E7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  <w:p w14:paraId="66A12DDD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  <w:p w14:paraId="50697038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  <w:p w14:paraId="7BCC4860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1" w:type="dxa"/>
          </w:tcPr>
          <w:p w14:paraId="7802F4A0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Manual de producción documental</w:t>
            </w:r>
          </w:p>
          <w:p w14:paraId="246F87A0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  <w:p w14:paraId="65B2D55F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Documentos internos</w:t>
            </w:r>
          </w:p>
          <w:p w14:paraId="18B08BF5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  <w:p w14:paraId="47F605CD" w14:textId="77777777" w:rsidR="0047016A" w:rsidRPr="00220232" w:rsidRDefault="0047016A" w:rsidP="0047016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Paquetería</w:t>
            </w:r>
          </w:p>
          <w:p w14:paraId="44497478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  <w:p w14:paraId="67019078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421046B3" w14:textId="055F7E85" w:rsidR="0047016A" w:rsidRPr="00A10A9D" w:rsidRDefault="0047016A" w:rsidP="00702ACB">
            <w:pPr>
              <w:jc w:val="center"/>
              <w:rPr>
                <w:b/>
                <w:sz w:val="22"/>
                <w:szCs w:val="22"/>
              </w:rPr>
            </w:pPr>
            <w:r w:rsidRPr="00A10A9D">
              <w:rPr>
                <w:b/>
                <w:sz w:val="22"/>
                <w:szCs w:val="22"/>
              </w:rPr>
              <w:t>Procedimiento para la Distribución de los Documentos Internos de la UCM</w:t>
            </w:r>
          </w:p>
        </w:tc>
        <w:tc>
          <w:tcPr>
            <w:tcW w:w="3505" w:type="dxa"/>
          </w:tcPr>
          <w:p w14:paraId="05752B94" w14:textId="3B855536" w:rsidR="0047016A" w:rsidRPr="00C355CF" w:rsidRDefault="0047016A" w:rsidP="00702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Planilla de distribución física (SAIA)</w:t>
            </w:r>
          </w:p>
        </w:tc>
        <w:tc>
          <w:tcPr>
            <w:tcW w:w="2090" w:type="dxa"/>
            <w:vAlign w:val="center"/>
          </w:tcPr>
          <w:p w14:paraId="7D18B53A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Cliente Interno:</w:t>
            </w:r>
          </w:p>
          <w:p w14:paraId="37ED74E5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Comunidad UCM</w:t>
            </w:r>
          </w:p>
          <w:p w14:paraId="2BAA54BA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Secretaria General</w:t>
            </w:r>
          </w:p>
          <w:p w14:paraId="40812DC0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  <w:p w14:paraId="36C4F1D9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Cliente Externo:</w:t>
            </w:r>
          </w:p>
          <w:p w14:paraId="3C7ED62B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Ministerio de Educación</w:t>
            </w:r>
          </w:p>
          <w:p w14:paraId="68EAFC45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Archivo General de la Nación</w:t>
            </w:r>
          </w:p>
          <w:p w14:paraId="7B158B7A" w14:textId="77777777" w:rsidR="0047016A" w:rsidRDefault="0047016A" w:rsidP="0047016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02ACB" w:rsidRPr="00220232" w14:paraId="14784EEA" w14:textId="77777777" w:rsidTr="008811D0">
        <w:trPr>
          <w:trHeight w:val="814"/>
        </w:trPr>
        <w:tc>
          <w:tcPr>
            <w:tcW w:w="3161" w:type="dxa"/>
            <w:vAlign w:val="center"/>
          </w:tcPr>
          <w:p w14:paraId="67CBDA83" w14:textId="77777777" w:rsidR="00702ACB" w:rsidRDefault="00702ACB" w:rsidP="00702A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Proveedor Interno:</w:t>
            </w:r>
          </w:p>
          <w:p w14:paraId="04BD1074" w14:textId="128AC7A8" w:rsidR="00702ACB" w:rsidRDefault="00702ACB" w:rsidP="00702A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Comunidad UCM</w:t>
            </w:r>
          </w:p>
        </w:tc>
        <w:tc>
          <w:tcPr>
            <w:tcW w:w="2401" w:type="dxa"/>
          </w:tcPr>
          <w:p w14:paraId="3C6CCDBC" w14:textId="77777777" w:rsidR="00702ACB" w:rsidRDefault="00702ACB" w:rsidP="00702A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Documentos internos</w:t>
            </w:r>
          </w:p>
          <w:p w14:paraId="351D8A27" w14:textId="77777777" w:rsidR="00702ACB" w:rsidRDefault="00702ACB" w:rsidP="00702ACB">
            <w:pPr>
              <w:jc w:val="center"/>
              <w:rPr>
                <w:bCs/>
                <w:sz w:val="22"/>
                <w:szCs w:val="22"/>
              </w:rPr>
            </w:pPr>
          </w:p>
          <w:p w14:paraId="4949C060" w14:textId="77777777" w:rsidR="00702ACB" w:rsidRPr="00220232" w:rsidRDefault="00702ACB" w:rsidP="00702AC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Paquetería</w:t>
            </w:r>
          </w:p>
          <w:p w14:paraId="642CF3A1" w14:textId="77777777" w:rsidR="00702ACB" w:rsidRDefault="00702ACB" w:rsidP="00702A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8B4643" w14:textId="1EA20747" w:rsidR="00702ACB" w:rsidRPr="00A10A9D" w:rsidRDefault="00702ACB" w:rsidP="00702ACB">
            <w:pPr>
              <w:jc w:val="center"/>
              <w:rPr>
                <w:b/>
                <w:sz w:val="22"/>
                <w:szCs w:val="22"/>
              </w:rPr>
            </w:pPr>
            <w:r w:rsidRPr="00A10A9D">
              <w:rPr>
                <w:b/>
                <w:sz w:val="22"/>
                <w:szCs w:val="22"/>
              </w:rPr>
              <w:t>Procedimiento para el Despacho de la Correspondencia</w:t>
            </w:r>
          </w:p>
        </w:tc>
        <w:tc>
          <w:tcPr>
            <w:tcW w:w="3505" w:type="dxa"/>
            <w:vAlign w:val="center"/>
          </w:tcPr>
          <w:p w14:paraId="48FDED6F" w14:textId="77777777" w:rsidR="00702ACB" w:rsidRDefault="00702ACB" w:rsidP="00702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Guías de correspondencia</w:t>
            </w:r>
          </w:p>
          <w:p w14:paraId="508A8F78" w14:textId="77777777" w:rsidR="00702ACB" w:rsidRDefault="00702ACB" w:rsidP="00702ACB">
            <w:pPr>
              <w:jc w:val="center"/>
              <w:rPr>
                <w:sz w:val="22"/>
                <w:szCs w:val="22"/>
              </w:rPr>
            </w:pPr>
          </w:p>
          <w:p w14:paraId="191332B6" w14:textId="6EAEC7C2" w:rsidR="00702ACB" w:rsidRPr="00C355CF" w:rsidRDefault="00702ACB" w:rsidP="00702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Manifiestos de despacho</w:t>
            </w:r>
          </w:p>
        </w:tc>
        <w:tc>
          <w:tcPr>
            <w:tcW w:w="2090" w:type="dxa"/>
            <w:vAlign w:val="center"/>
          </w:tcPr>
          <w:p w14:paraId="7323734F" w14:textId="77777777" w:rsidR="00702ACB" w:rsidRDefault="00702ACB" w:rsidP="00702A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Cliente Externo:</w:t>
            </w:r>
          </w:p>
          <w:p w14:paraId="320B8361" w14:textId="77777777" w:rsidR="00702ACB" w:rsidRDefault="00702ACB" w:rsidP="00702A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Ministerio de Educación</w:t>
            </w:r>
          </w:p>
          <w:p w14:paraId="7EBBE671" w14:textId="77777777" w:rsidR="00702ACB" w:rsidRDefault="00702ACB" w:rsidP="00702A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Archivo General de la Nación</w:t>
            </w:r>
          </w:p>
          <w:p w14:paraId="108D36B4" w14:textId="098484D3" w:rsidR="00702ACB" w:rsidRDefault="00702ACB" w:rsidP="00702A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Usuario Externo</w:t>
            </w:r>
          </w:p>
        </w:tc>
      </w:tr>
      <w:tr w:rsidR="003041A6" w:rsidRPr="00220232" w14:paraId="2C1D4044" w14:textId="77777777" w:rsidTr="00C15255">
        <w:trPr>
          <w:trHeight w:val="814"/>
        </w:trPr>
        <w:tc>
          <w:tcPr>
            <w:tcW w:w="3161" w:type="dxa"/>
            <w:vAlign w:val="center"/>
          </w:tcPr>
          <w:p w14:paraId="4F052588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Proveedor Interno:</w:t>
            </w:r>
          </w:p>
          <w:p w14:paraId="66783156" w14:textId="137DB22B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Comunidad UCM</w:t>
            </w:r>
          </w:p>
        </w:tc>
        <w:tc>
          <w:tcPr>
            <w:tcW w:w="2401" w:type="dxa"/>
            <w:vAlign w:val="center"/>
          </w:tcPr>
          <w:p w14:paraId="5828D457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Estructura orgánica funcional </w:t>
            </w:r>
          </w:p>
          <w:p w14:paraId="3166FAB4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</w:p>
          <w:p w14:paraId="56AC90D9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 w:rsidRPr="00A10A9D">
              <w:rPr>
                <w:bCs/>
                <w:sz w:val="22"/>
                <w:szCs w:val="22"/>
              </w:rPr>
              <w:t>Manual de funciones y procedimientos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353DBD48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</w:p>
          <w:p w14:paraId="2C099147" w14:textId="1C9354F1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Actos administrativos estructurales </w:t>
            </w:r>
          </w:p>
        </w:tc>
        <w:tc>
          <w:tcPr>
            <w:tcW w:w="2835" w:type="dxa"/>
            <w:vAlign w:val="center"/>
          </w:tcPr>
          <w:p w14:paraId="06170CE4" w14:textId="5B2E5699" w:rsidR="003041A6" w:rsidRPr="00A10A9D" w:rsidRDefault="003041A6" w:rsidP="003041A6">
            <w:pPr>
              <w:jc w:val="center"/>
              <w:rPr>
                <w:b/>
                <w:sz w:val="22"/>
                <w:szCs w:val="22"/>
              </w:rPr>
            </w:pPr>
            <w:r w:rsidRPr="00A10A9D">
              <w:rPr>
                <w:b/>
                <w:sz w:val="22"/>
                <w:szCs w:val="22"/>
              </w:rPr>
              <w:lastRenderedPageBreak/>
              <w:t>Procedimiento para el Levantamiento de Tablas de Retención Documental</w:t>
            </w:r>
          </w:p>
        </w:tc>
        <w:tc>
          <w:tcPr>
            <w:tcW w:w="3505" w:type="dxa"/>
            <w:vAlign w:val="center"/>
          </w:tcPr>
          <w:p w14:paraId="1BBD1C80" w14:textId="77777777" w:rsidR="003041A6" w:rsidRDefault="003041A6" w:rsidP="003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Listado codificado de series y </w:t>
            </w:r>
            <w:proofErr w:type="spellStart"/>
            <w:r>
              <w:rPr>
                <w:sz w:val="22"/>
                <w:szCs w:val="22"/>
              </w:rPr>
              <w:t>subseries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0FB2A13" w14:textId="77777777" w:rsidR="003041A6" w:rsidRDefault="003041A6" w:rsidP="003041A6">
            <w:pPr>
              <w:jc w:val="center"/>
              <w:rPr>
                <w:sz w:val="22"/>
                <w:szCs w:val="22"/>
              </w:rPr>
            </w:pPr>
          </w:p>
          <w:p w14:paraId="7E89F0FE" w14:textId="77777777" w:rsidR="003041A6" w:rsidRDefault="003041A6" w:rsidP="003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Listado codificado de dependencias </w:t>
            </w:r>
          </w:p>
          <w:p w14:paraId="0CEF352A" w14:textId="77777777" w:rsidR="003041A6" w:rsidRDefault="003041A6" w:rsidP="003041A6">
            <w:pPr>
              <w:jc w:val="center"/>
              <w:rPr>
                <w:sz w:val="22"/>
                <w:szCs w:val="22"/>
              </w:rPr>
            </w:pPr>
          </w:p>
          <w:p w14:paraId="4FD74D85" w14:textId="77777777" w:rsidR="003041A6" w:rsidRDefault="003041A6" w:rsidP="003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Cuadro de clasificación documental </w:t>
            </w:r>
          </w:p>
          <w:p w14:paraId="11C5C92D" w14:textId="77777777" w:rsidR="003041A6" w:rsidRDefault="003041A6" w:rsidP="003041A6">
            <w:pPr>
              <w:jc w:val="center"/>
              <w:rPr>
                <w:sz w:val="22"/>
                <w:szCs w:val="22"/>
              </w:rPr>
            </w:pPr>
          </w:p>
          <w:p w14:paraId="3D562DDE" w14:textId="6BC37F5D" w:rsidR="003041A6" w:rsidRPr="00C355CF" w:rsidRDefault="003041A6" w:rsidP="003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Tabla de retención documental </w:t>
            </w:r>
          </w:p>
        </w:tc>
        <w:tc>
          <w:tcPr>
            <w:tcW w:w="2090" w:type="dxa"/>
            <w:vAlign w:val="center"/>
          </w:tcPr>
          <w:p w14:paraId="45F9FF95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Cliente Interno:</w:t>
            </w:r>
          </w:p>
          <w:p w14:paraId="22CEC714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Comunidad UCM</w:t>
            </w:r>
          </w:p>
          <w:p w14:paraId="71B81CD5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</w:p>
          <w:p w14:paraId="3F371E07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Cliente Externo:</w:t>
            </w:r>
          </w:p>
          <w:p w14:paraId="4087B5C1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Ministerio de Educación</w:t>
            </w:r>
          </w:p>
          <w:p w14:paraId="31548455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Archivo General de la Nación </w:t>
            </w:r>
          </w:p>
          <w:p w14:paraId="2E2A697A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041A6" w:rsidRPr="00220232" w14:paraId="7CC4DBA0" w14:textId="77777777" w:rsidTr="00220232">
        <w:trPr>
          <w:trHeight w:val="2482"/>
        </w:trPr>
        <w:tc>
          <w:tcPr>
            <w:tcW w:w="3161" w:type="dxa"/>
            <w:vAlign w:val="center"/>
          </w:tcPr>
          <w:p w14:paraId="272A7732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Proveedor Interno:</w:t>
            </w:r>
          </w:p>
          <w:p w14:paraId="3500E79B" w14:textId="232B8C90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Comunidad UCM</w:t>
            </w:r>
          </w:p>
        </w:tc>
        <w:tc>
          <w:tcPr>
            <w:tcW w:w="2401" w:type="dxa"/>
            <w:vAlign w:val="center"/>
          </w:tcPr>
          <w:p w14:paraId="7EC1EA9E" w14:textId="58BC2A28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Cronograma revisión archivos de gestión </w:t>
            </w:r>
          </w:p>
        </w:tc>
        <w:tc>
          <w:tcPr>
            <w:tcW w:w="2835" w:type="dxa"/>
            <w:vAlign w:val="center"/>
          </w:tcPr>
          <w:p w14:paraId="7052A0EA" w14:textId="45AA2310" w:rsidR="003041A6" w:rsidRPr="00A10A9D" w:rsidRDefault="003041A6" w:rsidP="003041A6">
            <w:pPr>
              <w:rPr>
                <w:b/>
                <w:sz w:val="22"/>
                <w:szCs w:val="22"/>
              </w:rPr>
            </w:pPr>
            <w:r w:rsidRPr="00A10A9D">
              <w:rPr>
                <w:b/>
                <w:sz w:val="22"/>
                <w:szCs w:val="22"/>
              </w:rPr>
              <w:t>Procedimiento para Revisión de Archivos de Gestión</w:t>
            </w:r>
          </w:p>
        </w:tc>
        <w:tc>
          <w:tcPr>
            <w:tcW w:w="3505" w:type="dxa"/>
            <w:vAlign w:val="center"/>
          </w:tcPr>
          <w:p w14:paraId="2B0FF12F" w14:textId="77777777" w:rsidR="003041A6" w:rsidRDefault="003041A6" w:rsidP="003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Formato diligenciado revisión de archivo </w:t>
            </w:r>
          </w:p>
          <w:p w14:paraId="1DA45FC8" w14:textId="77777777" w:rsidR="003041A6" w:rsidRDefault="003041A6" w:rsidP="003041A6">
            <w:pPr>
              <w:jc w:val="center"/>
              <w:rPr>
                <w:sz w:val="22"/>
                <w:szCs w:val="22"/>
              </w:rPr>
            </w:pPr>
          </w:p>
          <w:p w14:paraId="2CF4120B" w14:textId="45FB4EFA" w:rsidR="003041A6" w:rsidRDefault="003041A6" w:rsidP="003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Inventario único documental </w:t>
            </w:r>
          </w:p>
        </w:tc>
        <w:tc>
          <w:tcPr>
            <w:tcW w:w="2090" w:type="dxa"/>
            <w:vAlign w:val="center"/>
          </w:tcPr>
          <w:p w14:paraId="5511A60F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Cliente Interno:</w:t>
            </w:r>
          </w:p>
          <w:p w14:paraId="211C741A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Comunidad UCM</w:t>
            </w:r>
          </w:p>
          <w:p w14:paraId="5B9EDD70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</w:p>
          <w:p w14:paraId="78A20347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Cliente Externo:</w:t>
            </w:r>
          </w:p>
          <w:p w14:paraId="7A64A2B7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Ministerio de Educación</w:t>
            </w:r>
          </w:p>
          <w:p w14:paraId="2A64EC2A" w14:textId="01C3444A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Archivo General de la Nación </w:t>
            </w:r>
          </w:p>
        </w:tc>
      </w:tr>
      <w:tr w:rsidR="003041A6" w:rsidRPr="00220232" w14:paraId="2D1EDA6F" w14:textId="77777777" w:rsidTr="00220232">
        <w:trPr>
          <w:trHeight w:val="2482"/>
        </w:trPr>
        <w:tc>
          <w:tcPr>
            <w:tcW w:w="3161" w:type="dxa"/>
            <w:vAlign w:val="center"/>
          </w:tcPr>
          <w:p w14:paraId="13AE90CB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Proveedor Interno:</w:t>
            </w:r>
          </w:p>
          <w:p w14:paraId="08908B8D" w14:textId="2AF585A1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Comunidad UCM</w:t>
            </w:r>
          </w:p>
        </w:tc>
        <w:tc>
          <w:tcPr>
            <w:tcW w:w="2401" w:type="dxa"/>
            <w:vAlign w:val="center"/>
          </w:tcPr>
          <w:p w14:paraId="2C4663A9" w14:textId="281428B6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Comunicación interna informando las fechas de la transferencia </w:t>
            </w:r>
          </w:p>
        </w:tc>
        <w:tc>
          <w:tcPr>
            <w:tcW w:w="2835" w:type="dxa"/>
            <w:vAlign w:val="center"/>
          </w:tcPr>
          <w:p w14:paraId="236A1028" w14:textId="286AA2F0" w:rsidR="003041A6" w:rsidRPr="00A10A9D" w:rsidRDefault="003041A6" w:rsidP="003041A6">
            <w:pPr>
              <w:rPr>
                <w:b/>
                <w:sz w:val="22"/>
                <w:szCs w:val="22"/>
              </w:rPr>
            </w:pPr>
            <w:r w:rsidRPr="00A10A9D">
              <w:rPr>
                <w:b/>
                <w:sz w:val="22"/>
                <w:szCs w:val="22"/>
              </w:rPr>
              <w:t>Procedimiento para Transferencias Documentales</w:t>
            </w:r>
          </w:p>
        </w:tc>
        <w:tc>
          <w:tcPr>
            <w:tcW w:w="3505" w:type="dxa"/>
            <w:vAlign w:val="center"/>
          </w:tcPr>
          <w:p w14:paraId="1DF99C58" w14:textId="77777777" w:rsidR="003041A6" w:rsidRDefault="003041A6" w:rsidP="003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Inventario único documental </w:t>
            </w:r>
          </w:p>
          <w:p w14:paraId="0BEF9691" w14:textId="77777777" w:rsidR="003041A6" w:rsidRDefault="003041A6" w:rsidP="003041A6">
            <w:pPr>
              <w:jc w:val="center"/>
              <w:rPr>
                <w:sz w:val="22"/>
                <w:szCs w:val="22"/>
              </w:rPr>
            </w:pPr>
          </w:p>
          <w:p w14:paraId="36FA8621" w14:textId="016FEDCE" w:rsidR="003041A6" w:rsidRDefault="003041A6" w:rsidP="003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Expedientes </w:t>
            </w:r>
          </w:p>
        </w:tc>
        <w:tc>
          <w:tcPr>
            <w:tcW w:w="2090" w:type="dxa"/>
            <w:vAlign w:val="center"/>
          </w:tcPr>
          <w:p w14:paraId="3E02A2FF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Cliente Interno:</w:t>
            </w:r>
          </w:p>
          <w:p w14:paraId="0633DC18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Comunidad UCM</w:t>
            </w:r>
          </w:p>
          <w:p w14:paraId="0E8F404A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</w:p>
          <w:p w14:paraId="28A219DF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Cliente Externo:</w:t>
            </w:r>
          </w:p>
          <w:p w14:paraId="6DC74252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Ministerio de Educación</w:t>
            </w:r>
          </w:p>
          <w:p w14:paraId="43F87149" w14:textId="10483A7B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Archivo General de la Nación</w:t>
            </w:r>
          </w:p>
        </w:tc>
      </w:tr>
      <w:tr w:rsidR="003041A6" w:rsidRPr="00220232" w14:paraId="6190D6B7" w14:textId="77777777" w:rsidTr="00220232">
        <w:trPr>
          <w:trHeight w:val="2482"/>
        </w:trPr>
        <w:tc>
          <w:tcPr>
            <w:tcW w:w="3161" w:type="dxa"/>
            <w:vAlign w:val="center"/>
          </w:tcPr>
          <w:p w14:paraId="0C8A1734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Proveedor Interno:</w:t>
            </w:r>
          </w:p>
          <w:p w14:paraId="14140233" w14:textId="28A8EEDF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Comunidad UCM</w:t>
            </w:r>
          </w:p>
        </w:tc>
        <w:tc>
          <w:tcPr>
            <w:tcW w:w="2401" w:type="dxa"/>
            <w:vAlign w:val="center"/>
          </w:tcPr>
          <w:p w14:paraId="73E0B7B3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Inventarios</w:t>
            </w:r>
          </w:p>
          <w:p w14:paraId="0EF4544D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</w:p>
          <w:p w14:paraId="4E52D4A1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Expedientes </w:t>
            </w:r>
          </w:p>
          <w:p w14:paraId="5EA51419" w14:textId="5AB4095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E00FE69" w14:textId="47D73B2D" w:rsidR="003041A6" w:rsidRPr="00A10A9D" w:rsidRDefault="003041A6" w:rsidP="003041A6">
            <w:pPr>
              <w:rPr>
                <w:b/>
                <w:sz w:val="22"/>
                <w:szCs w:val="22"/>
              </w:rPr>
            </w:pPr>
            <w:r w:rsidRPr="00A10A9D">
              <w:rPr>
                <w:b/>
                <w:sz w:val="22"/>
                <w:szCs w:val="22"/>
              </w:rPr>
              <w:t>Procedimiento de Eliminación Documental Aplicando Tabla de Valoración Documental</w:t>
            </w:r>
          </w:p>
        </w:tc>
        <w:tc>
          <w:tcPr>
            <w:tcW w:w="3505" w:type="dxa"/>
            <w:vAlign w:val="center"/>
          </w:tcPr>
          <w:p w14:paraId="072D019A" w14:textId="27060EC2" w:rsidR="003041A6" w:rsidRDefault="003041A6" w:rsidP="003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Actas de eliminación </w:t>
            </w:r>
          </w:p>
        </w:tc>
        <w:tc>
          <w:tcPr>
            <w:tcW w:w="2090" w:type="dxa"/>
            <w:vAlign w:val="center"/>
          </w:tcPr>
          <w:p w14:paraId="2E70E10C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Cliente Interno:</w:t>
            </w:r>
          </w:p>
          <w:p w14:paraId="3B766885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Comunidad UCM</w:t>
            </w:r>
          </w:p>
          <w:p w14:paraId="48948404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</w:p>
          <w:p w14:paraId="04997528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Cliente Externo:</w:t>
            </w:r>
          </w:p>
          <w:p w14:paraId="0E3041FF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Ministerio de Educación</w:t>
            </w:r>
          </w:p>
          <w:p w14:paraId="64A3235F" w14:textId="6C608B88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Archivo General de la Nación</w:t>
            </w:r>
          </w:p>
        </w:tc>
      </w:tr>
      <w:tr w:rsidR="003041A6" w:rsidRPr="00220232" w14:paraId="5CBAD341" w14:textId="77777777" w:rsidTr="00220232">
        <w:trPr>
          <w:trHeight w:val="2482"/>
        </w:trPr>
        <w:tc>
          <w:tcPr>
            <w:tcW w:w="3161" w:type="dxa"/>
            <w:vAlign w:val="center"/>
          </w:tcPr>
          <w:p w14:paraId="06474AF8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Proveedor Interno:</w:t>
            </w:r>
          </w:p>
          <w:p w14:paraId="6181EA8F" w14:textId="7813C436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Facultades </w:t>
            </w:r>
          </w:p>
        </w:tc>
        <w:tc>
          <w:tcPr>
            <w:tcW w:w="2401" w:type="dxa"/>
            <w:vAlign w:val="center"/>
          </w:tcPr>
          <w:p w14:paraId="295B4DB2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Orden de fotocopias</w:t>
            </w:r>
          </w:p>
          <w:p w14:paraId="2EC065BB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</w:p>
          <w:p w14:paraId="5010533B" w14:textId="260B7606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Documento original  </w:t>
            </w:r>
          </w:p>
        </w:tc>
        <w:tc>
          <w:tcPr>
            <w:tcW w:w="2835" w:type="dxa"/>
            <w:vAlign w:val="center"/>
          </w:tcPr>
          <w:p w14:paraId="1D55CBC3" w14:textId="20BB9BC6" w:rsidR="003041A6" w:rsidRPr="00A10A9D" w:rsidRDefault="003041A6" w:rsidP="003041A6">
            <w:pPr>
              <w:rPr>
                <w:b/>
                <w:sz w:val="22"/>
                <w:szCs w:val="22"/>
              </w:rPr>
            </w:pPr>
            <w:r w:rsidRPr="00A10A9D">
              <w:rPr>
                <w:b/>
                <w:sz w:val="22"/>
                <w:szCs w:val="22"/>
              </w:rPr>
              <w:t>Procedimiento para Fotocopias de Parciales</w:t>
            </w:r>
          </w:p>
        </w:tc>
        <w:tc>
          <w:tcPr>
            <w:tcW w:w="3505" w:type="dxa"/>
            <w:vAlign w:val="center"/>
          </w:tcPr>
          <w:p w14:paraId="5853BB5E" w14:textId="77777777" w:rsidR="003041A6" w:rsidRDefault="003041A6" w:rsidP="003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Documento original fotocopiado </w:t>
            </w:r>
          </w:p>
          <w:p w14:paraId="1F47E715" w14:textId="77777777" w:rsidR="003041A6" w:rsidRDefault="003041A6" w:rsidP="003041A6">
            <w:pPr>
              <w:jc w:val="center"/>
              <w:rPr>
                <w:sz w:val="22"/>
                <w:szCs w:val="22"/>
              </w:rPr>
            </w:pPr>
          </w:p>
          <w:p w14:paraId="7F76BCB2" w14:textId="2478D39E" w:rsidR="003041A6" w:rsidRDefault="003041A6" w:rsidP="003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Planilla control de fotocopias </w:t>
            </w:r>
          </w:p>
        </w:tc>
        <w:tc>
          <w:tcPr>
            <w:tcW w:w="2090" w:type="dxa"/>
            <w:vAlign w:val="center"/>
          </w:tcPr>
          <w:p w14:paraId="4A5B16B6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Cliente interno:</w:t>
            </w:r>
          </w:p>
          <w:p w14:paraId="23831471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Docentes </w:t>
            </w:r>
          </w:p>
          <w:p w14:paraId="0931F619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041A6" w:rsidRPr="00220232" w14:paraId="4C1E64AC" w14:textId="77777777" w:rsidTr="00220232">
        <w:trPr>
          <w:trHeight w:val="2482"/>
        </w:trPr>
        <w:tc>
          <w:tcPr>
            <w:tcW w:w="3161" w:type="dxa"/>
            <w:vAlign w:val="center"/>
          </w:tcPr>
          <w:p w14:paraId="4508F4FF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Proveedor interno:</w:t>
            </w:r>
          </w:p>
          <w:p w14:paraId="03ABC4AA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Depósitos de archivo</w:t>
            </w:r>
          </w:p>
          <w:p w14:paraId="6FA4620E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</w:p>
          <w:p w14:paraId="1052AB0D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Proveedor externo:</w:t>
            </w:r>
          </w:p>
          <w:p w14:paraId="5DD4C750" w14:textId="4E78BDDB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empresa proveedora de equipos </w:t>
            </w:r>
          </w:p>
        </w:tc>
        <w:tc>
          <w:tcPr>
            <w:tcW w:w="2401" w:type="dxa"/>
            <w:vAlign w:val="center"/>
          </w:tcPr>
          <w:p w14:paraId="46EF3F6C" w14:textId="091853E0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Equipos en funcionamiento </w:t>
            </w:r>
          </w:p>
        </w:tc>
        <w:tc>
          <w:tcPr>
            <w:tcW w:w="2835" w:type="dxa"/>
            <w:vAlign w:val="center"/>
          </w:tcPr>
          <w:p w14:paraId="6360F9A2" w14:textId="05567FA3" w:rsidR="003041A6" w:rsidRPr="00A10A9D" w:rsidRDefault="003041A6" w:rsidP="003041A6">
            <w:pPr>
              <w:rPr>
                <w:b/>
                <w:sz w:val="22"/>
                <w:szCs w:val="22"/>
              </w:rPr>
            </w:pPr>
            <w:r w:rsidRPr="00A10A9D">
              <w:rPr>
                <w:b/>
                <w:sz w:val="22"/>
              </w:rPr>
              <w:t>Procedimiento para el Control Ambiental en los Depósitos de Archivo</w:t>
            </w:r>
          </w:p>
        </w:tc>
        <w:tc>
          <w:tcPr>
            <w:tcW w:w="3505" w:type="dxa"/>
            <w:vAlign w:val="center"/>
          </w:tcPr>
          <w:p w14:paraId="1A55AF2B" w14:textId="2500BBBC" w:rsidR="003041A6" w:rsidRDefault="000F066D" w:rsidP="003041A6">
            <w:pPr>
              <w:jc w:val="center"/>
              <w:rPr>
                <w:sz w:val="22"/>
                <w:szCs w:val="22"/>
              </w:rPr>
            </w:pPr>
            <w:r w:rsidRPr="000F066D">
              <w:rPr>
                <w:color w:val="FF0000"/>
                <w:sz w:val="22"/>
                <w:szCs w:val="22"/>
              </w:rPr>
              <w:t>Control de condiciones Ambientales</w:t>
            </w:r>
          </w:p>
        </w:tc>
        <w:tc>
          <w:tcPr>
            <w:tcW w:w="2090" w:type="dxa"/>
            <w:vAlign w:val="center"/>
          </w:tcPr>
          <w:p w14:paraId="4692602C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Cliente Interno:</w:t>
            </w:r>
          </w:p>
          <w:p w14:paraId="78805C63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Centro de administración de documentos</w:t>
            </w:r>
          </w:p>
          <w:p w14:paraId="6F652B16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Secretaria General </w:t>
            </w:r>
          </w:p>
          <w:p w14:paraId="1732E534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</w:p>
          <w:p w14:paraId="168FB942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Cliente Externo:</w:t>
            </w:r>
          </w:p>
          <w:p w14:paraId="22C2E9C0" w14:textId="77777777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Ministerio de Educación</w:t>
            </w:r>
          </w:p>
          <w:p w14:paraId="642DCD00" w14:textId="2A8E3D3F" w:rsidR="003041A6" w:rsidRDefault="003041A6" w:rsidP="00304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Archivo General de la Nación</w:t>
            </w:r>
          </w:p>
        </w:tc>
      </w:tr>
      <w:tr w:rsidR="003C7B6A" w:rsidRPr="00220232" w14:paraId="1A7BF23F" w14:textId="77777777" w:rsidTr="00220232">
        <w:trPr>
          <w:trHeight w:val="2482"/>
        </w:trPr>
        <w:tc>
          <w:tcPr>
            <w:tcW w:w="3161" w:type="dxa"/>
            <w:vAlign w:val="center"/>
          </w:tcPr>
          <w:p w14:paraId="5FBEFF27" w14:textId="77777777" w:rsidR="003C7B6A" w:rsidRPr="000A4E0C" w:rsidRDefault="003C7B6A" w:rsidP="003C7B6A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A4E0C">
              <w:rPr>
                <w:bCs/>
                <w:color w:val="FF0000"/>
                <w:sz w:val="22"/>
                <w:szCs w:val="22"/>
              </w:rPr>
              <w:lastRenderedPageBreak/>
              <w:t>Proveedor externo:</w:t>
            </w:r>
          </w:p>
          <w:p w14:paraId="35050855" w14:textId="00BE2958" w:rsidR="003C7B6A" w:rsidRPr="000A4E0C" w:rsidRDefault="003C7B6A" w:rsidP="003C7B6A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A4E0C">
              <w:rPr>
                <w:bCs/>
                <w:color w:val="FF0000"/>
                <w:sz w:val="22"/>
                <w:szCs w:val="22"/>
              </w:rPr>
              <w:t xml:space="preserve">empresa proveedoras </w:t>
            </w:r>
          </w:p>
        </w:tc>
        <w:tc>
          <w:tcPr>
            <w:tcW w:w="2401" w:type="dxa"/>
            <w:vAlign w:val="center"/>
          </w:tcPr>
          <w:p w14:paraId="1D1D7DBF" w14:textId="7B5BB70C" w:rsidR="003C7B6A" w:rsidRPr="000A4E0C" w:rsidRDefault="000C49B7" w:rsidP="003041A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A4E0C">
              <w:rPr>
                <w:bCs/>
                <w:color w:val="FF0000"/>
                <w:sz w:val="22"/>
                <w:szCs w:val="22"/>
              </w:rPr>
              <w:t>Factura electrónica</w:t>
            </w:r>
          </w:p>
        </w:tc>
        <w:tc>
          <w:tcPr>
            <w:tcW w:w="2835" w:type="dxa"/>
            <w:vAlign w:val="center"/>
          </w:tcPr>
          <w:p w14:paraId="0F6DD7B4" w14:textId="70A6F806" w:rsidR="003C7B6A" w:rsidRPr="000A4E0C" w:rsidRDefault="000C49B7" w:rsidP="003041A6">
            <w:pPr>
              <w:rPr>
                <w:b/>
                <w:color w:val="FF0000"/>
                <w:sz w:val="22"/>
              </w:rPr>
            </w:pPr>
            <w:r w:rsidRPr="000A4E0C">
              <w:rPr>
                <w:b/>
                <w:color w:val="FF0000"/>
                <w:sz w:val="22"/>
              </w:rPr>
              <w:t>Recepción y radicación de facturas electrónicas</w:t>
            </w:r>
          </w:p>
        </w:tc>
        <w:tc>
          <w:tcPr>
            <w:tcW w:w="3505" w:type="dxa"/>
            <w:vAlign w:val="center"/>
          </w:tcPr>
          <w:p w14:paraId="03F8BEEB" w14:textId="6EC611C3" w:rsidR="003C7B6A" w:rsidRPr="000A4E0C" w:rsidRDefault="0045305E" w:rsidP="003041A6">
            <w:pPr>
              <w:jc w:val="center"/>
              <w:rPr>
                <w:color w:val="FF0000"/>
                <w:sz w:val="22"/>
                <w:szCs w:val="22"/>
              </w:rPr>
            </w:pPr>
            <w:r w:rsidRPr="000A4E0C">
              <w:rPr>
                <w:color w:val="FF0000"/>
                <w:sz w:val="22"/>
                <w:szCs w:val="22"/>
              </w:rPr>
              <w:t>Consecutivos de radicación de facturas electrónicas</w:t>
            </w:r>
          </w:p>
        </w:tc>
        <w:tc>
          <w:tcPr>
            <w:tcW w:w="2090" w:type="dxa"/>
            <w:vAlign w:val="center"/>
          </w:tcPr>
          <w:p w14:paraId="117E1C9F" w14:textId="77777777" w:rsidR="0045305E" w:rsidRPr="000A4E0C" w:rsidRDefault="0045305E" w:rsidP="0045305E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A4E0C">
              <w:rPr>
                <w:bCs/>
                <w:color w:val="FF0000"/>
                <w:sz w:val="22"/>
                <w:szCs w:val="22"/>
              </w:rPr>
              <w:t>Cliente Interno:</w:t>
            </w:r>
          </w:p>
          <w:p w14:paraId="2170762A" w14:textId="01F0D683" w:rsidR="0045305E" w:rsidRPr="000A4E0C" w:rsidRDefault="0045305E" w:rsidP="0045305E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A4E0C">
              <w:rPr>
                <w:bCs/>
                <w:color w:val="FF0000"/>
                <w:sz w:val="22"/>
                <w:szCs w:val="22"/>
              </w:rPr>
              <w:t xml:space="preserve">Unidad de Correspondencia </w:t>
            </w:r>
          </w:p>
          <w:p w14:paraId="0F620788" w14:textId="49FD58E6" w:rsidR="0045305E" w:rsidRPr="000A4E0C" w:rsidRDefault="0045305E" w:rsidP="0045305E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A4E0C">
              <w:rPr>
                <w:bCs/>
                <w:color w:val="FF0000"/>
                <w:sz w:val="22"/>
                <w:szCs w:val="22"/>
              </w:rPr>
              <w:t>Comunidad UCM</w:t>
            </w:r>
          </w:p>
          <w:p w14:paraId="7271FE13" w14:textId="77777777" w:rsidR="0045305E" w:rsidRPr="000A4E0C" w:rsidRDefault="0045305E" w:rsidP="0045305E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  <w:p w14:paraId="1A2D106C" w14:textId="77777777" w:rsidR="0045305E" w:rsidRPr="000A4E0C" w:rsidRDefault="0045305E" w:rsidP="0045305E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A4E0C">
              <w:rPr>
                <w:bCs/>
                <w:color w:val="FF0000"/>
                <w:sz w:val="22"/>
                <w:szCs w:val="22"/>
              </w:rPr>
              <w:t>Cliente Externo:</w:t>
            </w:r>
          </w:p>
          <w:p w14:paraId="78C0E0C6" w14:textId="774F4101" w:rsidR="003C7B6A" w:rsidRPr="000A4E0C" w:rsidRDefault="0045305E" w:rsidP="0045305E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A4E0C">
              <w:rPr>
                <w:bCs/>
                <w:color w:val="FF0000"/>
                <w:sz w:val="22"/>
                <w:szCs w:val="22"/>
              </w:rPr>
              <w:t>Proveedores</w:t>
            </w:r>
          </w:p>
        </w:tc>
      </w:tr>
    </w:tbl>
    <w:p w14:paraId="58DAE0AA" w14:textId="77777777" w:rsidR="009915BE" w:rsidRPr="00220232" w:rsidRDefault="009915BE">
      <w:pPr>
        <w:rPr>
          <w:sz w:val="22"/>
          <w:szCs w:val="22"/>
        </w:rPr>
      </w:pPr>
    </w:p>
    <w:p w14:paraId="5FE9CEF2" w14:textId="77777777" w:rsidR="009915BE" w:rsidRPr="00220232" w:rsidRDefault="009915BE">
      <w:pPr>
        <w:rPr>
          <w:sz w:val="22"/>
          <w:szCs w:val="22"/>
        </w:rPr>
      </w:pPr>
    </w:p>
    <w:p w14:paraId="27B4F70D" w14:textId="77777777" w:rsidR="009915BE" w:rsidRPr="00220232" w:rsidRDefault="009915BE">
      <w:pPr>
        <w:rPr>
          <w:sz w:val="22"/>
          <w:szCs w:val="22"/>
        </w:rPr>
      </w:pPr>
    </w:p>
    <w:tbl>
      <w:tblPr>
        <w:tblStyle w:val="ac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4252"/>
        <w:gridCol w:w="3686"/>
        <w:gridCol w:w="2943"/>
      </w:tblGrid>
      <w:tr w:rsidR="009915BE" w:rsidRPr="00220232" w14:paraId="30F69F99" w14:textId="77777777">
        <w:tc>
          <w:tcPr>
            <w:tcW w:w="13995" w:type="dxa"/>
            <w:gridSpan w:val="4"/>
            <w:shd w:val="clear" w:color="auto" w:fill="BFBFBF"/>
            <w:vAlign w:val="center"/>
          </w:tcPr>
          <w:p w14:paraId="64767F18" w14:textId="77777777" w:rsidR="009915BE" w:rsidRPr="00220232" w:rsidRDefault="003A4E24">
            <w:pPr>
              <w:jc w:val="center"/>
              <w:rPr>
                <w:sz w:val="22"/>
                <w:szCs w:val="22"/>
              </w:rPr>
            </w:pPr>
            <w:r w:rsidRPr="00220232">
              <w:rPr>
                <w:b/>
                <w:sz w:val="22"/>
                <w:szCs w:val="22"/>
              </w:rPr>
              <w:t>REQUISITOS</w:t>
            </w:r>
          </w:p>
        </w:tc>
      </w:tr>
      <w:tr w:rsidR="009915BE" w:rsidRPr="00220232" w14:paraId="255A5B07" w14:textId="77777777" w:rsidTr="00E27388">
        <w:tc>
          <w:tcPr>
            <w:tcW w:w="3114" w:type="dxa"/>
            <w:shd w:val="clear" w:color="auto" w:fill="BFBFBF"/>
            <w:vAlign w:val="center"/>
          </w:tcPr>
          <w:p w14:paraId="00558F4C" w14:textId="77777777" w:rsidR="009915BE" w:rsidRPr="00220232" w:rsidRDefault="003A4E24">
            <w:pPr>
              <w:jc w:val="center"/>
              <w:rPr>
                <w:sz w:val="22"/>
                <w:szCs w:val="22"/>
              </w:rPr>
            </w:pPr>
            <w:r w:rsidRPr="00220232">
              <w:rPr>
                <w:b/>
                <w:sz w:val="22"/>
                <w:szCs w:val="22"/>
              </w:rPr>
              <w:t>GRUPOS DE INTERÉS</w:t>
            </w:r>
          </w:p>
        </w:tc>
        <w:tc>
          <w:tcPr>
            <w:tcW w:w="4252" w:type="dxa"/>
            <w:shd w:val="clear" w:color="auto" w:fill="BFBFBF"/>
            <w:vAlign w:val="center"/>
          </w:tcPr>
          <w:p w14:paraId="6D66FA7F" w14:textId="77777777" w:rsidR="009915BE" w:rsidRPr="00220232" w:rsidRDefault="003A4E24">
            <w:pPr>
              <w:jc w:val="center"/>
              <w:rPr>
                <w:sz w:val="22"/>
                <w:szCs w:val="22"/>
              </w:rPr>
            </w:pPr>
            <w:r w:rsidRPr="00220232">
              <w:rPr>
                <w:b/>
                <w:sz w:val="22"/>
                <w:szCs w:val="22"/>
              </w:rPr>
              <w:t xml:space="preserve">LEGISLACIÓN VIGENTE 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22A4DA91" w14:textId="77777777" w:rsidR="009915BE" w:rsidRPr="00220232" w:rsidRDefault="003A4E24">
            <w:pPr>
              <w:jc w:val="center"/>
              <w:rPr>
                <w:sz w:val="22"/>
                <w:szCs w:val="22"/>
              </w:rPr>
            </w:pPr>
            <w:r w:rsidRPr="00220232">
              <w:rPr>
                <w:b/>
                <w:sz w:val="22"/>
                <w:szCs w:val="22"/>
              </w:rPr>
              <w:t>LINEAMIENTOS DE CALIDAD</w:t>
            </w:r>
          </w:p>
        </w:tc>
        <w:tc>
          <w:tcPr>
            <w:tcW w:w="2943" w:type="dxa"/>
            <w:shd w:val="clear" w:color="auto" w:fill="BFBFBF"/>
            <w:vAlign w:val="center"/>
          </w:tcPr>
          <w:p w14:paraId="2961BB47" w14:textId="77777777" w:rsidR="009915BE" w:rsidRPr="00220232" w:rsidRDefault="003A4E24">
            <w:pPr>
              <w:jc w:val="center"/>
              <w:rPr>
                <w:sz w:val="22"/>
                <w:szCs w:val="22"/>
              </w:rPr>
            </w:pPr>
            <w:r w:rsidRPr="00220232">
              <w:rPr>
                <w:b/>
                <w:sz w:val="22"/>
                <w:szCs w:val="22"/>
              </w:rPr>
              <w:t>ORGANIZACIÓN</w:t>
            </w:r>
          </w:p>
        </w:tc>
      </w:tr>
      <w:tr w:rsidR="00933750" w:rsidRPr="00220232" w14:paraId="5C1613F7" w14:textId="77777777" w:rsidTr="00E27388">
        <w:trPr>
          <w:trHeight w:val="469"/>
        </w:trPr>
        <w:tc>
          <w:tcPr>
            <w:tcW w:w="3114" w:type="dxa"/>
          </w:tcPr>
          <w:p w14:paraId="1662D2EB" w14:textId="5CBA9159" w:rsidR="00933750" w:rsidRPr="00220232" w:rsidRDefault="00933750" w:rsidP="00933750">
            <w:pPr>
              <w:jc w:val="center"/>
              <w:rPr>
                <w:color w:val="FF0000"/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>Necesidades y Expectativas de los usuarios de los servicios y de la comunidad universitaria en la Universidad Católica de Manizales identificados en la formulación del Plan de Desarrollo</w:t>
            </w:r>
          </w:p>
        </w:tc>
        <w:tc>
          <w:tcPr>
            <w:tcW w:w="4252" w:type="dxa"/>
          </w:tcPr>
          <w:p w14:paraId="442C620F" w14:textId="29766C79" w:rsidR="00933750" w:rsidRDefault="00933750" w:rsidP="00933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Constitución Política de Colombia 1991</w:t>
            </w:r>
          </w:p>
          <w:p w14:paraId="3F2C14C4" w14:textId="1925743E" w:rsidR="00933750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4CE91FD3" w14:textId="28879981" w:rsidR="00933750" w:rsidRDefault="00C461C9" w:rsidP="00933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Ley 80 de 1989 – Crea el Archivo General de la Nación</w:t>
            </w:r>
          </w:p>
          <w:p w14:paraId="5A12564D" w14:textId="77777777" w:rsidR="00933750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561CFAC9" w14:textId="71296D0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>Ley 527 de 1999 del Congreso de Colombia – Mensajes de Datos, comercio Electrónico y Firmas Digitales</w:t>
            </w:r>
          </w:p>
          <w:p w14:paraId="30CDCBE9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621469C8" w14:textId="4C17504F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>Resolución 1995 de 1999 del Ministerio de Salud – Historias Clínicas</w:t>
            </w:r>
          </w:p>
          <w:p w14:paraId="442B0A14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422E74BC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>Ley 594 de 2000 del Congreso de Colombia – Ley General de Archivos</w:t>
            </w:r>
          </w:p>
          <w:p w14:paraId="0B41377A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5FF9FB5D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lastRenderedPageBreak/>
              <w:t>Acuerdo 049 de 2000 del Archivo General de la Nación – Edificios y Locales de Archivo</w:t>
            </w:r>
          </w:p>
          <w:p w14:paraId="142D19E5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21472A61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>Acuerdo 050 de 2000 del Archivo General de la Nación – Prevención de deterioro de los documentos de Archivo y situaciones de riesgo</w:t>
            </w:r>
          </w:p>
          <w:p w14:paraId="423189F4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018630C2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>Acuerdo 060 de 2001 del Archivo General de la Nación – Pautas para la administración de comunicaciones oficiales</w:t>
            </w:r>
          </w:p>
          <w:p w14:paraId="14093129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3FAFAB97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 xml:space="preserve">  Acuerdo 038 de 2002 del Archivo General de la Nación – Obligaciones de los funcionarios a entregar los documentos y los archivos debidamente inventariados al desvincularse de un cargo</w:t>
            </w:r>
          </w:p>
          <w:p w14:paraId="51569FF3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03431894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40129D70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>Acuerdo 042 de 2002 del Archivo General de la Nación – Criterios para la organización de los archivos de gestión y se regula el inventario único documental</w:t>
            </w:r>
          </w:p>
          <w:p w14:paraId="252EA9F5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0A3AE570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 xml:space="preserve">Acuerdo 002 de 2004 del Archivo General de la Nación – Lineamientos </w:t>
            </w:r>
            <w:r w:rsidRPr="00A82841">
              <w:rPr>
                <w:sz w:val="22"/>
                <w:szCs w:val="22"/>
              </w:rPr>
              <w:lastRenderedPageBreak/>
              <w:t>básicos para la organización de los fondos acumulados.</w:t>
            </w:r>
          </w:p>
          <w:p w14:paraId="1080AD77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338B756A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5F2F7A3D" w14:textId="14C29E19" w:rsidR="00E85983" w:rsidRDefault="00E85983" w:rsidP="00933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Acuerdo 027 de 2006 – Glosario de términos archivísticos</w:t>
            </w:r>
          </w:p>
          <w:p w14:paraId="0852BC6E" w14:textId="77777777" w:rsidR="00E85983" w:rsidRDefault="00E85983" w:rsidP="00933750">
            <w:pPr>
              <w:jc w:val="center"/>
              <w:rPr>
                <w:sz w:val="22"/>
                <w:szCs w:val="22"/>
              </w:rPr>
            </w:pPr>
          </w:p>
          <w:p w14:paraId="08242C6B" w14:textId="3B716594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>Ley 1409 de 2010 del Congreso de Colombia – Reglamenta el ejercicio profesional de la archivística.</w:t>
            </w:r>
          </w:p>
          <w:p w14:paraId="6EC8AE3B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23D0F177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>NTC- ISO 15489 de 2010 del ICONTEC - Gestión documental física y electrónica</w:t>
            </w:r>
          </w:p>
          <w:p w14:paraId="21CC2897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303DF1D6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>Circular externa 002 del 2012 del Archivo General de la Nación – Adquisición de herramientas tecnológicas de gestión documental</w:t>
            </w:r>
          </w:p>
          <w:p w14:paraId="5373756F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0F6D033C" w14:textId="77777777" w:rsidR="00933750" w:rsidRPr="00A82841" w:rsidRDefault="00933750" w:rsidP="00933750">
            <w:pPr>
              <w:jc w:val="center"/>
              <w:rPr>
                <w:rFonts w:cs="Arial"/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 xml:space="preserve">Circular Externa 005 del 2012 del Archivo General de la Nación - </w:t>
            </w:r>
            <w:r w:rsidRPr="00A82841">
              <w:rPr>
                <w:rFonts w:cs="Arial"/>
                <w:sz w:val="22"/>
                <w:szCs w:val="22"/>
              </w:rPr>
              <w:t xml:space="preserve">Recomendaciones para llevar a cabo procesos de digitalización y comunicaciones oficiales electrónicas en el marco de la iniciativa </w:t>
            </w:r>
            <w:proofErr w:type="gramStart"/>
            <w:r w:rsidRPr="00A82841">
              <w:rPr>
                <w:rFonts w:cs="Arial"/>
                <w:sz w:val="22"/>
                <w:szCs w:val="22"/>
              </w:rPr>
              <w:t>cero papel</w:t>
            </w:r>
            <w:proofErr w:type="gramEnd"/>
            <w:r w:rsidRPr="00A82841">
              <w:rPr>
                <w:rFonts w:cs="Arial"/>
                <w:sz w:val="22"/>
                <w:szCs w:val="22"/>
              </w:rPr>
              <w:t>.</w:t>
            </w:r>
          </w:p>
          <w:p w14:paraId="6421DB74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01ECD600" w14:textId="77777777" w:rsidR="00933750" w:rsidRPr="00A82841" w:rsidRDefault="00933750" w:rsidP="00933750">
            <w:pPr>
              <w:jc w:val="center"/>
              <w:rPr>
                <w:rFonts w:cs="Arial"/>
                <w:sz w:val="22"/>
                <w:szCs w:val="22"/>
              </w:rPr>
            </w:pPr>
            <w:r w:rsidRPr="00A82841">
              <w:rPr>
                <w:rFonts w:cs="Arial"/>
                <w:sz w:val="22"/>
                <w:szCs w:val="22"/>
              </w:rPr>
              <w:t xml:space="preserve">Decreto 2609 del 14 de diciembre 2012 de la Presidencia de la República - “Por el cual se </w:t>
            </w:r>
            <w:r w:rsidRPr="00A82841">
              <w:rPr>
                <w:rFonts w:cs="Arial"/>
                <w:sz w:val="22"/>
                <w:szCs w:val="22"/>
              </w:rPr>
              <w:lastRenderedPageBreak/>
              <w:t>reglamenta el título V de la ley 594 de 2000, parcialmente los artículos 58 y 59 de la ley 1437 de 2011 y se dictan otras disposiciones en materia de gestión documental para todas las Entidades del Estado”</w:t>
            </w:r>
          </w:p>
          <w:p w14:paraId="75DA5DD7" w14:textId="77777777" w:rsidR="00933750" w:rsidRPr="00A82841" w:rsidRDefault="00933750" w:rsidP="00933750">
            <w:pPr>
              <w:rPr>
                <w:rFonts w:cs="Arial"/>
                <w:sz w:val="22"/>
                <w:szCs w:val="22"/>
              </w:rPr>
            </w:pPr>
          </w:p>
          <w:p w14:paraId="554F08E0" w14:textId="77777777" w:rsidR="00933750" w:rsidRPr="00A82841" w:rsidRDefault="00933750" w:rsidP="00933750">
            <w:pPr>
              <w:jc w:val="center"/>
              <w:rPr>
                <w:rFonts w:eastAsia="Calibri" w:cs="Arial"/>
                <w:bCs/>
                <w:sz w:val="22"/>
                <w:szCs w:val="22"/>
              </w:rPr>
            </w:pPr>
            <w:r w:rsidRPr="00A82841">
              <w:rPr>
                <w:rFonts w:cs="Arial"/>
                <w:sz w:val="22"/>
                <w:szCs w:val="22"/>
              </w:rPr>
              <w:t>Acuerdo 005 del 15 de marzo de 2013 del Archivo General de la Nación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A82841">
              <w:rPr>
                <w:rFonts w:eastAsia="Calibri" w:cs="Arial"/>
                <w:bCs/>
                <w:sz w:val="22"/>
                <w:szCs w:val="22"/>
              </w:rPr>
              <w:t>“Por el cual se establecen los criterios básicos para la clasificación, ordenación y descripción de los archivos en las entidades públicas y privadas que cumplen funciones públicas y se dictan otras disposiciones"</w:t>
            </w:r>
          </w:p>
          <w:p w14:paraId="54146F63" w14:textId="77777777" w:rsidR="00933750" w:rsidRPr="00A82841" w:rsidRDefault="00933750" w:rsidP="00933750">
            <w:pPr>
              <w:rPr>
                <w:rFonts w:cs="Arial"/>
                <w:sz w:val="22"/>
                <w:szCs w:val="22"/>
              </w:rPr>
            </w:pPr>
          </w:p>
          <w:p w14:paraId="7BAE04F2" w14:textId="068D3B73" w:rsidR="00933750" w:rsidRPr="00A82841" w:rsidRDefault="00933750" w:rsidP="006E4019">
            <w:pPr>
              <w:pStyle w:val="Ttulo2"/>
              <w:jc w:val="center"/>
              <w:rPr>
                <w:rFonts w:eastAsia="Calibri" w:cs="Arial"/>
                <w:bCs/>
                <w:i/>
                <w:iCs/>
                <w:sz w:val="22"/>
                <w:szCs w:val="22"/>
              </w:rPr>
            </w:pPr>
            <w:r w:rsidRPr="00B5660D">
              <w:rPr>
                <w:rFonts w:eastAsia="Calibri" w:cs="Arial"/>
                <w:b w:val="0"/>
                <w:bCs/>
                <w:iCs/>
                <w:sz w:val="22"/>
                <w:szCs w:val="22"/>
              </w:rPr>
              <w:t xml:space="preserve">Ley 1712 del 6 de Marzo </w:t>
            </w:r>
            <w:proofErr w:type="gramStart"/>
            <w:r w:rsidRPr="00B5660D">
              <w:rPr>
                <w:rFonts w:eastAsia="Calibri" w:cs="Arial"/>
                <w:b w:val="0"/>
                <w:bCs/>
                <w:iCs/>
                <w:sz w:val="22"/>
                <w:szCs w:val="22"/>
              </w:rPr>
              <w:t>de  2014</w:t>
            </w:r>
            <w:proofErr w:type="gramEnd"/>
            <w:r w:rsidRPr="00B5660D">
              <w:rPr>
                <w:rFonts w:eastAsia="Calibri" w:cs="Arial"/>
                <w:b w:val="0"/>
                <w:bCs/>
                <w:iCs/>
                <w:sz w:val="22"/>
                <w:szCs w:val="22"/>
              </w:rPr>
              <w:t xml:space="preserve"> del Congreso de la República de </w:t>
            </w:r>
            <w:proofErr w:type="spellStart"/>
            <w:r w:rsidRPr="00B5660D">
              <w:rPr>
                <w:rFonts w:eastAsia="Calibri" w:cs="Arial"/>
                <w:b w:val="0"/>
                <w:bCs/>
                <w:iCs/>
                <w:sz w:val="22"/>
                <w:szCs w:val="22"/>
              </w:rPr>
              <w:t>Colombia“Ley</w:t>
            </w:r>
            <w:proofErr w:type="spellEnd"/>
            <w:r w:rsidRPr="00B5660D">
              <w:rPr>
                <w:rFonts w:eastAsia="Calibri" w:cs="Arial"/>
                <w:b w:val="0"/>
                <w:bCs/>
                <w:iCs/>
                <w:sz w:val="22"/>
                <w:szCs w:val="22"/>
              </w:rPr>
              <w:t xml:space="preserve"> de Transparencia y del Derecho de Acceso a la Información Pública Nacional</w:t>
            </w:r>
            <w:r w:rsidRPr="00A82841">
              <w:rPr>
                <w:rFonts w:eastAsia="Calibri" w:cs="Arial"/>
                <w:bCs/>
                <w:i/>
                <w:iCs/>
                <w:sz w:val="22"/>
                <w:szCs w:val="22"/>
              </w:rPr>
              <w:t>”</w:t>
            </w:r>
          </w:p>
          <w:p w14:paraId="5E009FEA" w14:textId="77777777" w:rsidR="00933750" w:rsidRPr="00A82841" w:rsidRDefault="00933750" w:rsidP="006E401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903B257" w14:textId="77777777" w:rsidR="00933750" w:rsidRPr="00A82841" w:rsidRDefault="00933750" w:rsidP="00933750">
            <w:pPr>
              <w:jc w:val="center"/>
              <w:outlineLvl w:val="2"/>
              <w:rPr>
                <w:rFonts w:cs="Arial"/>
                <w:b/>
                <w:sz w:val="22"/>
                <w:szCs w:val="22"/>
              </w:rPr>
            </w:pPr>
            <w:r w:rsidRPr="00B5660D">
              <w:rPr>
                <w:rFonts w:cs="Arial"/>
                <w:sz w:val="22"/>
                <w:szCs w:val="22"/>
              </w:rPr>
              <w:t xml:space="preserve">Acuerdo 02 del 14 de marzo </w:t>
            </w:r>
            <w:proofErr w:type="gramStart"/>
            <w:r w:rsidRPr="00B5660D">
              <w:rPr>
                <w:rFonts w:cs="Arial"/>
                <w:sz w:val="22"/>
                <w:szCs w:val="22"/>
              </w:rPr>
              <w:t>de  2014</w:t>
            </w:r>
            <w:proofErr w:type="gramEnd"/>
            <w:r w:rsidRPr="00B5660D">
              <w:rPr>
                <w:rFonts w:cs="Arial"/>
                <w:sz w:val="22"/>
                <w:szCs w:val="22"/>
              </w:rPr>
              <w:t xml:space="preserve"> del Consejo Directivo del Archivo General de la Nación "Por medio del cual se establecen los criterios básicos para creación, conformación, organización, control y consulta de los </w:t>
            </w:r>
            <w:r w:rsidRPr="00B5660D">
              <w:rPr>
                <w:rFonts w:cs="Arial"/>
                <w:sz w:val="22"/>
                <w:szCs w:val="22"/>
              </w:rPr>
              <w:lastRenderedPageBreak/>
              <w:t>expedientes de archivo y se dictan otras disposiciones</w:t>
            </w:r>
            <w:r w:rsidRPr="00A82841">
              <w:rPr>
                <w:rFonts w:cs="Arial"/>
                <w:b/>
                <w:sz w:val="22"/>
                <w:szCs w:val="22"/>
              </w:rPr>
              <w:t>”</w:t>
            </w:r>
          </w:p>
          <w:p w14:paraId="7DDDA7BE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3B7912B1" w14:textId="77777777" w:rsidR="00933750" w:rsidRPr="00B5660D" w:rsidRDefault="00933750" w:rsidP="00933750">
            <w:pPr>
              <w:jc w:val="center"/>
              <w:outlineLvl w:val="2"/>
              <w:rPr>
                <w:rFonts w:cs="Arial"/>
                <w:sz w:val="22"/>
                <w:szCs w:val="22"/>
              </w:rPr>
            </w:pPr>
            <w:r w:rsidRPr="00B5660D">
              <w:rPr>
                <w:rFonts w:cs="Arial"/>
                <w:sz w:val="22"/>
                <w:szCs w:val="22"/>
              </w:rPr>
              <w:t xml:space="preserve">Acuerdo 06 del 15 de octubre </w:t>
            </w:r>
            <w:proofErr w:type="gramStart"/>
            <w:r w:rsidRPr="00B5660D">
              <w:rPr>
                <w:rFonts w:cs="Arial"/>
                <w:sz w:val="22"/>
                <w:szCs w:val="22"/>
              </w:rPr>
              <w:t>de  2014</w:t>
            </w:r>
            <w:proofErr w:type="gramEnd"/>
            <w:r w:rsidRPr="00B5660D">
              <w:rPr>
                <w:rFonts w:cs="Arial"/>
                <w:sz w:val="22"/>
                <w:szCs w:val="22"/>
              </w:rPr>
              <w:t xml:space="preserve"> del Consejo Directivo del Archivo General de la Nación Jorge Palacios Preciado "Por medio del cual se desarrollan los artículos 46, 47 y 48 del título XI “Conservación de Documentos” de la ley 594 de 2000</w:t>
            </w:r>
          </w:p>
          <w:p w14:paraId="2ECEF515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549CE5DE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222B5B2E" w14:textId="6DA62583" w:rsidR="00933750" w:rsidRDefault="00933750" w:rsidP="00933750">
            <w:pPr>
              <w:jc w:val="center"/>
              <w:outlineLvl w:val="2"/>
              <w:rPr>
                <w:rFonts w:cs="Arial"/>
                <w:sz w:val="22"/>
                <w:szCs w:val="22"/>
              </w:rPr>
            </w:pPr>
            <w:r w:rsidRPr="00B5660D">
              <w:rPr>
                <w:rFonts w:cs="Arial"/>
                <w:sz w:val="22"/>
                <w:szCs w:val="22"/>
              </w:rPr>
              <w:t xml:space="preserve">Acuerdo 07 del 15 de octubre </w:t>
            </w:r>
            <w:proofErr w:type="gramStart"/>
            <w:r w:rsidRPr="00B5660D">
              <w:rPr>
                <w:rFonts w:cs="Arial"/>
                <w:sz w:val="22"/>
                <w:szCs w:val="22"/>
              </w:rPr>
              <w:t>de  2014</w:t>
            </w:r>
            <w:proofErr w:type="gramEnd"/>
            <w:r w:rsidRPr="00B5660D">
              <w:rPr>
                <w:rFonts w:cs="Arial"/>
                <w:sz w:val="22"/>
                <w:szCs w:val="22"/>
              </w:rPr>
              <w:t xml:space="preserve"> del Consejo Directivo del Archivo General de la Nación Jorge Palacios Preciado “Por medio del cual se establecen los lineamientos para la reconstrucción de expedientes y se dictan otras disposiciones”</w:t>
            </w:r>
          </w:p>
          <w:p w14:paraId="19FA0AC7" w14:textId="287C3542" w:rsidR="001A436A" w:rsidRDefault="001A436A" w:rsidP="00933750">
            <w:pPr>
              <w:jc w:val="center"/>
              <w:outlineLvl w:val="2"/>
              <w:rPr>
                <w:rFonts w:cs="Arial"/>
                <w:sz w:val="22"/>
                <w:szCs w:val="22"/>
              </w:rPr>
            </w:pPr>
          </w:p>
          <w:p w14:paraId="4013EAF6" w14:textId="77777777" w:rsidR="001A436A" w:rsidRDefault="001A436A" w:rsidP="00933750">
            <w:pPr>
              <w:jc w:val="center"/>
              <w:outlineLvl w:val="2"/>
              <w:rPr>
                <w:rFonts w:cs="Arial"/>
                <w:sz w:val="22"/>
                <w:szCs w:val="22"/>
              </w:rPr>
            </w:pPr>
          </w:p>
          <w:p w14:paraId="7455ABE7" w14:textId="77777777" w:rsidR="00933750" w:rsidRDefault="00933750" w:rsidP="00933750">
            <w:pPr>
              <w:jc w:val="center"/>
              <w:outlineLvl w:val="2"/>
              <w:rPr>
                <w:rFonts w:cs="Arial"/>
                <w:sz w:val="22"/>
                <w:szCs w:val="22"/>
              </w:rPr>
            </w:pPr>
          </w:p>
          <w:p w14:paraId="74B34EF1" w14:textId="04A90395" w:rsidR="001A436A" w:rsidRDefault="001A436A" w:rsidP="00933750">
            <w:pPr>
              <w:jc w:val="center"/>
              <w:outlineLvl w:val="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Decreto 1080 de 2015 - </w:t>
            </w:r>
            <w:r>
              <w:t>Decreto Único Reglamentario del Sector Cultura</w:t>
            </w:r>
          </w:p>
          <w:p w14:paraId="7A4E7D9D" w14:textId="77777777" w:rsidR="001A436A" w:rsidRDefault="001A436A" w:rsidP="00933750">
            <w:pPr>
              <w:jc w:val="center"/>
              <w:outlineLvl w:val="2"/>
              <w:rPr>
                <w:rFonts w:cs="Arial"/>
                <w:sz w:val="22"/>
                <w:szCs w:val="22"/>
              </w:rPr>
            </w:pPr>
          </w:p>
          <w:p w14:paraId="2A4B2898" w14:textId="77777777" w:rsidR="001A436A" w:rsidRDefault="001A436A" w:rsidP="00933750">
            <w:pPr>
              <w:jc w:val="center"/>
              <w:outlineLvl w:val="2"/>
              <w:rPr>
                <w:rFonts w:cs="Arial"/>
                <w:sz w:val="22"/>
                <w:szCs w:val="22"/>
              </w:rPr>
            </w:pPr>
          </w:p>
          <w:p w14:paraId="15B0C5F7" w14:textId="78CEA2DE" w:rsidR="00933750" w:rsidRPr="00B5660D" w:rsidRDefault="00933750" w:rsidP="00933750">
            <w:pPr>
              <w:jc w:val="center"/>
              <w:outlineLvl w:val="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AENOR – ISO/TRD 18128 DEL 2014 Información y documentación – Apreciación del riesgo en procesos y sistemas de gestión documental</w:t>
            </w:r>
          </w:p>
          <w:p w14:paraId="39A750C0" w14:textId="77777777" w:rsidR="00933750" w:rsidRPr="00B5660D" w:rsidRDefault="00933750" w:rsidP="00933750">
            <w:pPr>
              <w:jc w:val="center"/>
              <w:outlineLvl w:val="2"/>
              <w:rPr>
                <w:rFonts w:cs="Arial"/>
                <w:sz w:val="22"/>
                <w:szCs w:val="22"/>
              </w:rPr>
            </w:pPr>
          </w:p>
          <w:p w14:paraId="62D19C2E" w14:textId="77777777" w:rsidR="00933750" w:rsidRPr="00B5660D" w:rsidRDefault="00933750" w:rsidP="00933750">
            <w:pPr>
              <w:jc w:val="center"/>
              <w:rPr>
                <w:rFonts w:cs="Arial"/>
                <w:sz w:val="22"/>
                <w:szCs w:val="22"/>
              </w:rPr>
            </w:pPr>
            <w:r w:rsidRPr="00B5660D">
              <w:rPr>
                <w:rFonts w:cs="Arial"/>
                <w:sz w:val="22"/>
                <w:szCs w:val="22"/>
              </w:rPr>
              <w:t>Decreto 103 del 20 de enero de 2015 de la Presidencia de la República.</w:t>
            </w:r>
          </w:p>
          <w:p w14:paraId="1E618706" w14:textId="77777777" w:rsidR="00933750" w:rsidRPr="00B5660D" w:rsidRDefault="00933750" w:rsidP="00933750">
            <w:pPr>
              <w:jc w:val="center"/>
              <w:rPr>
                <w:rFonts w:cs="Arial"/>
                <w:sz w:val="22"/>
                <w:szCs w:val="22"/>
              </w:rPr>
            </w:pPr>
            <w:r w:rsidRPr="00B5660D">
              <w:rPr>
                <w:rFonts w:cs="Arial"/>
                <w:sz w:val="22"/>
                <w:szCs w:val="22"/>
              </w:rPr>
              <w:t xml:space="preserve">“Por el cual se reglamenta parcialmente la Ley </w:t>
            </w:r>
            <w:hyperlink r:id="rId8" w:anchor="INICIO" w:history="1">
              <w:r w:rsidRPr="00B5660D">
                <w:rPr>
                  <w:rFonts w:cs="Arial"/>
                  <w:sz w:val="22"/>
                  <w:szCs w:val="22"/>
                </w:rPr>
                <w:t>1712</w:t>
              </w:r>
            </w:hyperlink>
            <w:r w:rsidRPr="00B5660D">
              <w:rPr>
                <w:rFonts w:cs="Arial"/>
                <w:sz w:val="22"/>
                <w:szCs w:val="22"/>
              </w:rPr>
              <w:t xml:space="preserve"> de 2014 y se dictan otras disposiciones”</w:t>
            </w:r>
          </w:p>
          <w:p w14:paraId="1E85C3C1" w14:textId="77777777" w:rsidR="00933750" w:rsidRPr="00B5660D" w:rsidRDefault="00933750" w:rsidP="00933750">
            <w:pPr>
              <w:jc w:val="center"/>
              <w:outlineLvl w:val="2"/>
              <w:rPr>
                <w:rFonts w:cs="Arial"/>
                <w:sz w:val="22"/>
                <w:szCs w:val="22"/>
              </w:rPr>
            </w:pPr>
          </w:p>
          <w:p w14:paraId="0CB37D09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>Decreto 106 del 21 de enero de 2015 de la Presidencia de la Republica.</w:t>
            </w:r>
            <w:r>
              <w:rPr>
                <w:sz w:val="22"/>
                <w:szCs w:val="22"/>
              </w:rPr>
              <w:t xml:space="preserve"> </w:t>
            </w:r>
            <w:r w:rsidRPr="00A82841">
              <w:rPr>
                <w:sz w:val="22"/>
                <w:szCs w:val="22"/>
              </w:rPr>
              <w:t>"Por el cual se reglamenta el Título VIII de la Ley 594 de 2000 en materia de inspección, vigilancia y control a los archivos de las entidades del Estado ya los documentos de carácter privado declarados de interés cultural; y se dictan otras disposiciones"</w:t>
            </w:r>
          </w:p>
          <w:p w14:paraId="5CD08567" w14:textId="77777777" w:rsidR="00933750" w:rsidRPr="00A82841" w:rsidRDefault="00933750" w:rsidP="00933750">
            <w:pPr>
              <w:jc w:val="center"/>
              <w:outlineLvl w:val="2"/>
              <w:rPr>
                <w:rFonts w:cs="Arial"/>
                <w:b/>
                <w:sz w:val="22"/>
                <w:szCs w:val="22"/>
              </w:rPr>
            </w:pPr>
          </w:p>
          <w:p w14:paraId="469AB708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>Acuerdo 003 del 17 de febrero de 2015 del Consejo Directivo del Archivo General de la Nación Jorge Palacios Preciado.</w:t>
            </w:r>
          </w:p>
          <w:p w14:paraId="386C75FD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>“Por el cual se establecen lineamientos generales para las entidades del Estado en cuanto a la gestión de documentos electrónicos generados como resultado del uso de medios electrónicos”</w:t>
            </w:r>
          </w:p>
          <w:p w14:paraId="33F73AB6" w14:textId="77777777" w:rsidR="00933750" w:rsidRPr="00A82841" w:rsidRDefault="00933750" w:rsidP="00933750">
            <w:pPr>
              <w:jc w:val="center"/>
              <w:outlineLvl w:val="2"/>
              <w:rPr>
                <w:rFonts w:cs="Arial"/>
                <w:b/>
                <w:sz w:val="22"/>
                <w:szCs w:val="22"/>
              </w:rPr>
            </w:pPr>
          </w:p>
          <w:p w14:paraId="2E941CC1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lastRenderedPageBreak/>
              <w:t>Circular Externa 001 del 20 de febrero de 2015 del Archivo General de la Nación.</w:t>
            </w:r>
          </w:p>
          <w:p w14:paraId="031FDA47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>Asunto: Alcance de la Expresión: “Cualquier medio técnico que garantice su reproducción exacta”</w:t>
            </w:r>
          </w:p>
          <w:p w14:paraId="7805982D" w14:textId="77777777" w:rsidR="00933750" w:rsidRPr="00A82841" w:rsidRDefault="00933750" w:rsidP="00933750">
            <w:pPr>
              <w:jc w:val="center"/>
              <w:outlineLvl w:val="2"/>
              <w:rPr>
                <w:rFonts w:cs="Arial"/>
                <w:b/>
                <w:sz w:val="22"/>
                <w:szCs w:val="22"/>
              </w:rPr>
            </w:pPr>
          </w:p>
          <w:p w14:paraId="09ABF402" w14:textId="77777777" w:rsidR="00933750" w:rsidRDefault="00933750" w:rsidP="00933750">
            <w:pPr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>Circular Externa 003 del 27 de febrero de 2015 del Archivo General de la Nación.</w:t>
            </w:r>
            <w:r>
              <w:rPr>
                <w:sz w:val="22"/>
                <w:szCs w:val="22"/>
              </w:rPr>
              <w:t xml:space="preserve"> </w:t>
            </w:r>
            <w:r w:rsidRPr="00A82841">
              <w:rPr>
                <w:sz w:val="22"/>
                <w:szCs w:val="22"/>
              </w:rPr>
              <w:t>Asunto: “Directrices para la elaboración de Tablas de Retención Documental”</w:t>
            </w:r>
          </w:p>
          <w:p w14:paraId="24BCAC4C" w14:textId="77777777" w:rsidR="00933750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752AA298" w14:textId="77777777" w:rsidR="00933750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7FAC89E4" w14:textId="77777777" w:rsidR="00933750" w:rsidRDefault="00933750" w:rsidP="00933750">
            <w:pPr>
              <w:jc w:val="center"/>
              <w:outlineLvl w:val="2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Acuerdo 004 del 10 de abril de 2019 del </w:t>
            </w:r>
            <w:r w:rsidRPr="00B5660D">
              <w:rPr>
                <w:rFonts w:cs="Arial"/>
                <w:sz w:val="22"/>
                <w:szCs w:val="22"/>
              </w:rPr>
              <w:t xml:space="preserve">Consejo Directivo del Archivo General de la Nación Jorge Palacios Preciado “Por medio del cual se </w:t>
            </w:r>
            <w:r>
              <w:rPr>
                <w:rFonts w:cs="Arial"/>
                <w:sz w:val="22"/>
                <w:szCs w:val="22"/>
              </w:rPr>
              <w:t xml:space="preserve">reglamenta el procedimiento para la elaboración, aprobación, evaluación y convalidación, implementación, publicación e inscripción en el Registro Único de Series Documentales – RUSD de las Tablas de Retención Documental TRD y Tablas de Valoración Documental - </w:t>
            </w:r>
            <w:proofErr w:type="gramStart"/>
            <w:r>
              <w:rPr>
                <w:rFonts w:cs="Arial"/>
                <w:sz w:val="22"/>
                <w:szCs w:val="22"/>
              </w:rPr>
              <w:t xml:space="preserve">TVD </w:t>
            </w:r>
            <w:r w:rsidRPr="00B5660D">
              <w:rPr>
                <w:rFonts w:cs="Arial"/>
                <w:sz w:val="22"/>
                <w:szCs w:val="22"/>
              </w:rPr>
              <w:t>”</w:t>
            </w:r>
            <w:proofErr w:type="gramEnd"/>
          </w:p>
          <w:p w14:paraId="1932E698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68423DC3" w14:textId="77777777" w:rsidR="00933750" w:rsidRPr="00220232" w:rsidRDefault="00933750" w:rsidP="0093375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B1E91E4" w14:textId="6E39EADA" w:rsidR="00E27388" w:rsidRPr="00E27388" w:rsidRDefault="00E27388" w:rsidP="00933750">
            <w:pPr>
              <w:rPr>
                <w:color w:val="FF0000"/>
                <w:sz w:val="22"/>
              </w:rPr>
            </w:pPr>
            <w:r w:rsidRPr="00E27388">
              <w:rPr>
                <w:b/>
                <w:bCs/>
                <w:color w:val="FF0000"/>
                <w:sz w:val="22"/>
              </w:rPr>
              <w:lastRenderedPageBreak/>
              <w:t>Factor 4.</w:t>
            </w:r>
            <w:r w:rsidRPr="00E27388">
              <w:rPr>
                <w:color w:val="FF0000"/>
                <w:sz w:val="22"/>
              </w:rPr>
              <w:t xml:space="preserve"> Mejoramiento continuo y autorregulación</w:t>
            </w:r>
          </w:p>
          <w:p w14:paraId="3EF3AE72" w14:textId="257831FE" w:rsidR="00E27388" w:rsidRPr="00E27388" w:rsidRDefault="00E27388" w:rsidP="00933750">
            <w:pPr>
              <w:rPr>
                <w:color w:val="FF0000"/>
                <w:sz w:val="22"/>
              </w:rPr>
            </w:pPr>
          </w:p>
          <w:p w14:paraId="0F22AA4E" w14:textId="7E3510BC" w:rsidR="00E27388" w:rsidRDefault="00E27388" w:rsidP="00933750">
            <w:pPr>
              <w:rPr>
                <w:color w:val="FF0000"/>
                <w:sz w:val="22"/>
              </w:rPr>
            </w:pPr>
            <w:r w:rsidRPr="00E27388">
              <w:rPr>
                <w:b/>
                <w:bCs/>
                <w:color w:val="FF0000"/>
                <w:sz w:val="22"/>
              </w:rPr>
              <w:t>Característica 13.</w:t>
            </w:r>
            <w:r w:rsidRPr="00E27388">
              <w:rPr>
                <w:color w:val="FF0000"/>
                <w:sz w:val="22"/>
              </w:rPr>
              <w:t xml:space="preserve"> Cultura de la autoevaluación</w:t>
            </w:r>
          </w:p>
          <w:p w14:paraId="54CFFBF9" w14:textId="4A026D14" w:rsidR="00FB6027" w:rsidRDefault="00FB6027" w:rsidP="00933750">
            <w:pPr>
              <w:rPr>
                <w:color w:val="FF0000"/>
                <w:sz w:val="22"/>
              </w:rPr>
            </w:pPr>
          </w:p>
          <w:p w14:paraId="5A1F6823" w14:textId="2937D4BE" w:rsidR="00FB6027" w:rsidRDefault="00FB6027" w:rsidP="00933750">
            <w:pPr>
              <w:rPr>
                <w:color w:val="FF0000"/>
                <w:sz w:val="22"/>
              </w:rPr>
            </w:pPr>
            <w:r w:rsidRPr="00FB6027">
              <w:rPr>
                <w:b/>
                <w:bCs/>
                <w:color w:val="FF0000"/>
                <w:sz w:val="22"/>
              </w:rPr>
              <w:t>Factor 7</w:t>
            </w:r>
            <w:r>
              <w:rPr>
                <w:color w:val="FF0000"/>
                <w:sz w:val="22"/>
              </w:rPr>
              <w:t>. Impacto Social</w:t>
            </w:r>
          </w:p>
          <w:p w14:paraId="5DE94AA6" w14:textId="59E1A309" w:rsidR="00FB6027" w:rsidRPr="00FB6027" w:rsidRDefault="00FB6027" w:rsidP="00933750">
            <w:pPr>
              <w:rPr>
                <w:b/>
                <w:bCs/>
                <w:color w:val="FF0000"/>
                <w:sz w:val="22"/>
              </w:rPr>
            </w:pPr>
          </w:p>
          <w:p w14:paraId="40387D37" w14:textId="254DFA0E" w:rsidR="00FB6027" w:rsidRPr="00E27388" w:rsidRDefault="00FB6027" w:rsidP="00933750">
            <w:pPr>
              <w:rPr>
                <w:color w:val="FF0000"/>
                <w:sz w:val="22"/>
                <w:szCs w:val="22"/>
              </w:rPr>
            </w:pPr>
            <w:r w:rsidRPr="00FB6027">
              <w:rPr>
                <w:b/>
                <w:bCs/>
                <w:color w:val="FF0000"/>
                <w:sz w:val="22"/>
              </w:rPr>
              <w:t>Característica 24</w:t>
            </w:r>
            <w:r>
              <w:rPr>
                <w:color w:val="FF0000"/>
                <w:sz w:val="22"/>
              </w:rPr>
              <w:t>. Impacto cultural y artístico</w:t>
            </w:r>
          </w:p>
          <w:p w14:paraId="50484B1D" w14:textId="77777777" w:rsidR="00933750" w:rsidRPr="00220232" w:rsidRDefault="00933750" w:rsidP="009337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14:paraId="41A60D4D" w14:textId="77777777" w:rsidR="00933750" w:rsidRPr="00A82841" w:rsidRDefault="00933750" w:rsidP="00933750">
            <w:pPr>
              <w:pStyle w:val="Encabezado"/>
              <w:tabs>
                <w:tab w:val="right" w:pos="-4039"/>
              </w:tabs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>Proyecto Educativo Universitario</w:t>
            </w:r>
          </w:p>
          <w:p w14:paraId="1A59092F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 xml:space="preserve">Plan de Desarrollo </w:t>
            </w:r>
          </w:p>
          <w:p w14:paraId="64C20B1E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03315CD6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>Estructura Organizacional</w:t>
            </w:r>
          </w:p>
          <w:p w14:paraId="17C3368A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>Manual de funciones</w:t>
            </w:r>
          </w:p>
          <w:p w14:paraId="371019D6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7FBBFF14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Resolución 039 de 1997 </w:t>
            </w:r>
            <w:r w:rsidRPr="00A82841">
              <w:rPr>
                <w:sz w:val="22"/>
                <w:szCs w:val="22"/>
              </w:rPr>
              <w:t>de la Universidad Católica de Manizales – Creación del Archivo Central</w:t>
            </w:r>
          </w:p>
          <w:p w14:paraId="6A35A863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2789BD33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6A2C2232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 xml:space="preserve">Resolución 055 de 2000 de la Universidad Católica de Manizales – </w:t>
            </w:r>
            <w:r w:rsidRPr="00A82841">
              <w:rPr>
                <w:sz w:val="22"/>
                <w:szCs w:val="22"/>
              </w:rPr>
              <w:lastRenderedPageBreak/>
              <w:t>Cambio de nombre de Archivo Central a Centro de Administración de Documentos</w:t>
            </w:r>
          </w:p>
          <w:p w14:paraId="3A28BBBF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47B75139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>Resolución 072 de 2000 de la Universidad Católica de Manizales – Creación de la oficina de correspondencia adscrita al Centro de Administración de Documentos</w:t>
            </w:r>
          </w:p>
          <w:p w14:paraId="5EB3D272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339D37FB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3179667C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  <w:r w:rsidRPr="00A82841">
              <w:rPr>
                <w:sz w:val="22"/>
                <w:szCs w:val="22"/>
              </w:rPr>
              <w:t>Resolución 06 de 2010 de la Universidad Católica de Manizales – Aprobación de las Tablas de Retención Documental</w:t>
            </w:r>
          </w:p>
          <w:p w14:paraId="195D75C5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317BCE6D" w14:textId="77777777" w:rsidR="00933750" w:rsidRPr="00A82841" w:rsidRDefault="00933750" w:rsidP="0093375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E5155">
              <w:rPr>
                <w:rFonts w:cs="Arial"/>
                <w:sz w:val="22"/>
                <w:szCs w:val="22"/>
              </w:rPr>
              <w:t>Acuerdo 026 del 12 de septiembre de 2013 de Consejo de Rectoría de la Universidad Católica de Manizales</w:t>
            </w:r>
            <w:r>
              <w:rPr>
                <w:rFonts w:cs="Arial"/>
                <w:sz w:val="22"/>
                <w:szCs w:val="22"/>
              </w:rPr>
              <w:t xml:space="preserve"> “</w:t>
            </w:r>
            <w:r w:rsidRPr="00FE5155">
              <w:rPr>
                <w:rFonts w:cs="Arial"/>
                <w:sz w:val="22"/>
                <w:szCs w:val="22"/>
              </w:rPr>
              <w:t xml:space="preserve">Por medio del cual se actualiza el Comité de Archivo del Centro de Administración de Documentos de la </w:t>
            </w:r>
            <w:r w:rsidRPr="00FE5155">
              <w:rPr>
                <w:rFonts w:cs="Arial"/>
                <w:sz w:val="22"/>
                <w:szCs w:val="22"/>
              </w:rPr>
              <w:lastRenderedPageBreak/>
              <w:t>Universidad Católica de Manizales</w:t>
            </w:r>
            <w:r w:rsidRPr="00A82841">
              <w:rPr>
                <w:rFonts w:cs="Arial"/>
                <w:b/>
                <w:sz w:val="22"/>
                <w:szCs w:val="22"/>
              </w:rPr>
              <w:t>”</w:t>
            </w:r>
          </w:p>
          <w:p w14:paraId="75AAE67D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385940C6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5316AD0B" w14:textId="77777777" w:rsidR="00933750" w:rsidRPr="00A82841" w:rsidRDefault="00933750" w:rsidP="00933750">
            <w:pPr>
              <w:jc w:val="center"/>
              <w:rPr>
                <w:rFonts w:cs="Arial"/>
                <w:sz w:val="22"/>
                <w:szCs w:val="22"/>
              </w:rPr>
            </w:pPr>
            <w:r w:rsidRPr="00A82841">
              <w:rPr>
                <w:rFonts w:cs="Arial"/>
                <w:sz w:val="22"/>
                <w:szCs w:val="22"/>
              </w:rPr>
              <w:t>Acuerdo 009 del 5 de febrero de 2014 de Consejo de Rectoría de la Universidad Católica de Manizales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27F952EB" w14:textId="77777777" w:rsidR="00933750" w:rsidRPr="00A82841" w:rsidRDefault="00933750" w:rsidP="0093375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82841">
              <w:rPr>
                <w:rFonts w:cs="Arial"/>
                <w:sz w:val="22"/>
                <w:szCs w:val="22"/>
              </w:rPr>
              <w:t>“Por medio del cual se aprueba la implementación del Sistema de Gestión Documental en la Universidad Católica de Manizales”</w:t>
            </w:r>
          </w:p>
          <w:p w14:paraId="22EEC5A2" w14:textId="77777777" w:rsidR="00933750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3D209D89" w14:textId="77777777" w:rsidR="00933750" w:rsidRDefault="00933750" w:rsidP="00933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Acuerdo </w:t>
            </w:r>
            <w:proofErr w:type="gramStart"/>
            <w:r>
              <w:rPr>
                <w:sz w:val="22"/>
                <w:szCs w:val="22"/>
              </w:rPr>
              <w:t>026  del</w:t>
            </w:r>
            <w:proofErr w:type="gramEnd"/>
            <w:r>
              <w:rPr>
                <w:sz w:val="22"/>
                <w:szCs w:val="22"/>
              </w:rPr>
              <w:t xml:space="preserve"> 25 de mayo de 2018 de Consejo de Rectoría de la Universidad Católica de Manizales “Por medio del cual se aprueba el Programa de Gestión Documental”</w:t>
            </w:r>
          </w:p>
          <w:p w14:paraId="274867C3" w14:textId="77777777" w:rsidR="00933750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1FC17943" w14:textId="77777777" w:rsidR="00933750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5C55B583" w14:textId="77777777" w:rsidR="00933750" w:rsidRDefault="00933750" w:rsidP="00933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 de Gestión Documental PGD</w:t>
            </w:r>
          </w:p>
          <w:p w14:paraId="5F2148F1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1AF8240A" w14:textId="77777777" w:rsidR="00933750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3C8B48FB" w14:textId="77777777" w:rsidR="00933750" w:rsidRDefault="00933750" w:rsidP="00933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Acuerdo 028 del 25 de mayo de 2018 de Consejo de Rectoría de la Universidad Católica de Manizales “Por medio del cual se aprueba el Plan Institucional de Archivo PINAR”</w:t>
            </w:r>
          </w:p>
          <w:p w14:paraId="467BAB9C" w14:textId="77777777" w:rsidR="00933750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11736521" w14:textId="77777777" w:rsidR="00933750" w:rsidRDefault="00933750" w:rsidP="00933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Institucional de Archivo PINAR</w:t>
            </w:r>
          </w:p>
          <w:p w14:paraId="12FB5438" w14:textId="77777777" w:rsidR="00933750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4EDAA8C8" w14:textId="77777777" w:rsidR="00933750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3589E297" w14:textId="77777777" w:rsidR="00933750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05C67DD8" w14:textId="77777777" w:rsidR="00933750" w:rsidRPr="00A82841" w:rsidRDefault="00933750" w:rsidP="00933750">
            <w:pPr>
              <w:jc w:val="center"/>
              <w:rPr>
                <w:sz w:val="22"/>
                <w:szCs w:val="22"/>
              </w:rPr>
            </w:pPr>
          </w:p>
          <w:p w14:paraId="0076793F" w14:textId="77777777" w:rsidR="00933750" w:rsidRPr="00220232" w:rsidRDefault="00933750" w:rsidP="00933750">
            <w:pPr>
              <w:ind w:left="380"/>
              <w:rPr>
                <w:color w:val="000000"/>
                <w:sz w:val="22"/>
                <w:szCs w:val="22"/>
              </w:rPr>
            </w:pPr>
          </w:p>
        </w:tc>
      </w:tr>
    </w:tbl>
    <w:p w14:paraId="5608DFC5" w14:textId="0DCD112B" w:rsidR="00605277" w:rsidRDefault="00605277">
      <w:pPr>
        <w:rPr>
          <w:sz w:val="22"/>
          <w:szCs w:val="22"/>
        </w:rPr>
      </w:pPr>
    </w:p>
    <w:p w14:paraId="0F184C2E" w14:textId="322F44F9" w:rsidR="00D0300A" w:rsidRDefault="00D0300A">
      <w:pPr>
        <w:rPr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155"/>
        <w:tblW w:w="11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4235"/>
        <w:gridCol w:w="1994"/>
        <w:gridCol w:w="2344"/>
      </w:tblGrid>
      <w:tr w:rsidR="00BB4FAA" w:rsidRPr="0000373F" w14:paraId="3A238514" w14:textId="77777777" w:rsidTr="00D9158E">
        <w:trPr>
          <w:trHeight w:val="677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A228FE" w14:textId="77777777" w:rsidR="00BB4FAA" w:rsidRPr="0000373F" w:rsidRDefault="00BB4FAA" w:rsidP="00D62EE0">
            <w:pPr>
              <w:jc w:val="center"/>
              <w:rPr>
                <w:b/>
                <w:sz w:val="22"/>
                <w:szCs w:val="22"/>
              </w:rPr>
            </w:pPr>
            <w:r w:rsidRPr="0000373F">
              <w:rPr>
                <w:b/>
                <w:sz w:val="22"/>
                <w:szCs w:val="22"/>
              </w:rPr>
              <w:lastRenderedPageBreak/>
              <w:t>Elaboró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0B7A95" w14:textId="77777777" w:rsidR="00BB4FAA" w:rsidRPr="0000373F" w:rsidRDefault="00BB4FAA" w:rsidP="00D62EE0">
            <w:pPr>
              <w:jc w:val="center"/>
              <w:rPr>
                <w:b/>
                <w:sz w:val="22"/>
                <w:szCs w:val="22"/>
              </w:rPr>
            </w:pPr>
            <w:r w:rsidRPr="0000373F">
              <w:rPr>
                <w:b/>
                <w:sz w:val="22"/>
                <w:szCs w:val="22"/>
              </w:rPr>
              <w:t>Revisó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A6598" w14:textId="77777777" w:rsidR="00BB4FAA" w:rsidRPr="0000373F" w:rsidRDefault="00BB4FAA" w:rsidP="00D62EE0">
            <w:pPr>
              <w:jc w:val="center"/>
              <w:rPr>
                <w:b/>
                <w:sz w:val="22"/>
                <w:szCs w:val="22"/>
              </w:rPr>
            </w:pPr>
            <w:r w:rsidRPr="0000373F">
              <w:rPr>
                <w:b/>
                <w:sz w:val="22"/>
                <w:szCs w:val="22"/>
              </w:rPr>
              <w:t>Aprobó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C84C4A" w14:textId="77777777" w:rsidR="00BB4FAA" w:rsidRPr="0000373F" w:rsidRDefault="00BB4FAA" w:rsidP="00D62EE0">
            <w:pPr>
              <w:jc w:val="center"/>
              <w:rPr>
                <w:b/>
                <w:sz w:val="22"/>
                <w:szCs w:val="22"/>
              </w:rPr>
            </w:pPr>
            <w:r w:rsidRPr="0000373F">
              <w:rPr>
                <w:b/>
                <w:sz w:val="22"/>
                <w:szCs w:val="22"/>
              </w:rPr>
              <w:t>Fecha de vigencia</w:t>
            </w:r>
          </w:p>
        </w:tc>
      </w:tr>
      <w:tr w:rsidR="00BB4FAA" w:rsidRPr="0000373F" w14:paraId="3329C0CC" w14:textId="77777777" w:rsidTr="00D9158E">
        <w:trPr>
          <w:trHeight w:val="127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3411" w14:textId="77777777" w:rsidR="00BB4FAA" w:rsidRPr="0000373F" w:rsidRDefault="00BB4FAA" w:rsidP="00D62EE0">
            <w:pPr>
              <w:jc w:val="center"/>
              <w:rPr>
                <w:sz w:val="22"/>
                <w:szCs w:val="22"/>
              </w:rPr>
            </w:pPr>
            <w:r w:rsidRPr="000056C4">
              <w:rPr>
                <w:sz w:val="22"/>
                <w:szCs w:val="22"/>
              </w:rPr>
              <w:t>Coordinadora Centro de Administración de Documentos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6E47" w14:textId="77777777" w:rsidR="00BB4FAA" w:rsidRDefault="00BB4FAA" w:rsidP="00D62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Dirección de </w:t>
            </w:r>
            <w:r w:rsidRPr="0000373F">
              <w:rPr>
                <w:sz w:val="22"/>
                <w:szCs w:val="22"/>
              </w:rPr>
              <w:t>Aseguramiento de la Calidad</w:t>
            </w:r>
          </w:p>
          <w:p w14:paraId="16E28E9C" w14:textId="77777777" w:rsidR="00BB4FAA" w:rsidRPr="0000373F" w:rsidRDefault="00BB4FAA" w:rsidP="00D62EE0">
            <w:pPr>
              <w:jc w:val="center"/>
              <w:rPr>
                <w:sz w:val="22"/>
                <w:szCs w:val="22"/>
              </w:rPr>
            </w:pPr>
          </w:p>
          <w:p w14:paraId="0C85B0F8" w14:textId="77777777" w:rsidR="00BB4FAA" w:rsidRPr="0000373F" w:rsidRDefault="00BB4FAA" w:rsidP="00D62EE0">
            <w:pPr>
              <w:jc w:val="center"/>
              <w:rPr>
                <w:sz w:val="22"/>
                <w:szCs w:val="22"/>
              </w:rPr>
            </w:pPr>
            <w:r w:rsidRPr="0000373F">
              <w:rPr>
                <w:sz w:val="22"/>
                <w:szCs w:val="22"/>
              </w:rPr>
              <w:t>Líder SIG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D9B4" w14:textId="77777777" w:rsidR="00BB4FAA" w:rsidRPr="0000373F" w:rsidRDefault="00BB4FAA" w:rsidP="00D62EE0">
            <w:pPr>
              <w:jc w:val="center"/>
              <w:rPr>
                <w:sz w:val="22"/>
                <w:szCs w:val="22"/>
              </w:rPr>
            </w:pPr>
            <w:r w:rsidRPr="0000373F">
              <w:rPr>
                <w:sz w:val="22"/>
                <w:szCs w:val="22"/>
              </w:rPr>
              <w:t>Consejo de Rectoría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D6C3" w14:textId="77777777" w:rsidR="00BB4FAA" w:rsidRPr="0000373F" w:rsidRDefault="00BB4FAA" w:rsidP="00D62EE0">
            <w:pPr>
              <w:jc w:val="center"/>
              <w:rPr>
                <w:sz w:val="22"/>
                <w:szCs w:val="22"/>
              </w:rPr>
            </w:pPr>
            <w:r w:rsidRPr="00064D76">
              <w:rPr>
                <w:sz w:val="22"/>
                <w:szCs w:val="22"/>
                <w:highlight w:val="yellow"/>
              </w:rPr>
              <w:t>Agosto del 2022</w:t>
            </w:r>
          </w:p>
        </w:tc>
      </w:tr>
    </w:tbl>
    <w:p w14:paraId="7F7D107B" w14:textId="251F71B5" w:rsidR="00D0300A" w:rsidRDefault="00D0300A">
      <w:pPr>
        <w:rPr>
          <w:sz w:val="22"/>
          <w:szCs w:val="22"/>
        </w:rPr>
      </w:pPr>
    </w:p>
    <w:p w14:paraId="4259FFA0" w14:textId="11B072EC" w:rsidR="00BB4FAA" w:rsidRDefault="00BB4FAA">
      <w:pPr>
        <w:rPr>
          <w:sz w:val="22"/>
          <w:szCs w:val="22"/>
        </w:rPr>
      </w:pPr>
    </w:p>
    <w:p w14:paraId="39357A63" w14:textId="53A4F9B6" w:rsidR="00BB4FAA" w:rsidRDefault="00BB4FAA">
      <w:pPr>
        <w:rPr>
          <w:sz w:val="22"/>
          <w:szCs w:val="22"/>
        </w:rPr>
      </w:pPr>
    </w:p>
    <w:p w14:paraId="7B0C9B79" w14:textId="2DB5616D" w:rsidR="00BB4FAA" w:rsidRDefault="00BB4FAA">
      <w:pPr>
        <w:rPr>
          <w:sz w:val="22"/>
          <w:szCs w:val="22"/>
        </w:rPr>
      </w:pPr>
    </w:p>
    <w:p w14:paraId="22675ECD" w14:textId="72ACADE5" w:rsidR="00BB4FAA" w:rsidRDefault="00BB4FAA">
      <w:pPr>
        <w:rPr>
          <w:sz w:val="22"/>
          <w:szCs w:val="22"/>
        </w:rPr>
      </w:pPr>
    </w:p>
    <w:p w14:paraId="659818B5" w14:textId="16F8D4F6" w:rsidR="00BB4FAA" w:rsidRDefault="00BB4FAA">
      <w:pPr>
        <w:rPr>
          <w:sz w:val="22"/>
          <w:szCs w:val="22"/>
        </w:rPr>
      </w:pPr>
    </w:p>
    <w:p w14:paraId="630EA8D9" w14:textId="4470719C" w:rsidR="00BB4FAA" w:rsidRDefault="00BB4FAA">
      <w:pPr>
        <w:rPr>
          <w:sz w:val="22"/>
          <w:szCs w:val="22"/>
        </w:rPr>
      </w:pPr>
    </w:p>
    <w:p w14:paraId="28C35347" w14:textId="685E89F5" w:rsidR="00BB4FAA" w:rsidRDefault="00BB4FAA">
      <w:pPr>
        <w:rPr>
          <w:sz w:val="22"/>
          <w:szCs w:val="22"/>
        </w:rPr>
      </w:pPr>
    </w:p>
    <w:p w14:paraId="0DDF5A91" w14:textId="103E424A" w:rsidR="00BB4FAA" w:rsidRDefault="00BB4FAA">
      <w:pPr>
        <w:rPr>
          <w:sz w:val="22"/>
          <w:szCs w:val="22"/>
        </w:rPr>
      </w:pPr>
    </w:p>
    <w:p w14:paraId="365860C2" w14:textId="18126366" w:rsidR="00D0300A" w:rsidRDefault="003A4E24">
      <w:pPr>
        <w:jc w:val="both"/>
        <w:rPr>
          <w:b/>
          <w:sz w:val="22"/>
          <w:szCs w:val="22"/>
        </w:rPr>
      </w:pPr>
      <w:r w:rsidRPr="00220232">
        <w:rPr>
          <w:b/>
          <w:sz w:val="22"/>
          <w:szCs w:val="22"/>
        </w:rPr>
        <w:t xml:space="preserve">       </w:t>
      </w:r>
    </w:p>
    <w:p w14:paraId="75BF1CD0" w14:textId="7784CEB6" w:rsidR="009915BE" w:rsidRPr="00220232" w:rsidRDefault="003A4E24" w:rsidP="00800829">
      <w:pPr>
        <w:ind w:left="1440" w:firstLine="720"/>
        <w:jc w:val="both"/>
        <w:rPr>
          <w:sz w:val="22"/>
          <w:szCs w:val="22"/>
        </w:rPr>
      </w:pPr>
      <w:r w:rsidRPr="00220232">
        <w:rPr>
          <w:b/>
          <w:sz w:val="22"/>
          <w:szCs w:val="22"/>
        </w:rPr>
        <w:t>CONTROL DE CAMBIOS</w:t>
      </w:r>
    </w:p>
    <w:p w14:paraId="3FC15AC3" w14:textId="6B3A9330" w:rsidR="009915BE" w:rsidRDefault="009915BE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"/>
        <w:tblW w:w="1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6"/>
        <w:gridCol w:w="1942"/>
        <w:gridCol w:w="2509"/>
        <w:gridCol w:w="4950"/>
      </w:tblGrid>
      <w:tr w:rsidR="00800829" w:rsidRPr="00220232" w14:paraId="6590ACF3" w14:textId="77777777" w:rsidTr="00D9158E">
        <w:trPr>
          <w:trHeight w:val="55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139C0CD" w14:textId="77777777" w:rsidR="00800829" w:rsidRPr="00220232" w:rsidRDefault="00800829" w:rsidP="00800829">
            <w:pPr>
              <w:jc w:val="center"/>
              <w:rPr>
                <w:b/>
                <w:sz w:val="22"/>
                <w:szCs w:val="22"/>
              </w:rPr>
            </w:pPr>
            <w:r w:rsidRPr="00220232"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A636E3" w14:textId="77777777" w:rsidR="00800829" w:rsidRPr="00220232" w:rsidRDefault="00800829" w:rsidP="00800829">
            <w:pPr>
              <w:jc w:val="center"/>
              <w:rPr>
                <w:b/>
                <w:sz w:val="22"/>
                <w:szCs w:val="22"/>
              </w:rPr>
            </w:pPr>
            <w:r w:rsidRPr="00220232">
              <w:rPr>
                <w:b/>
                <w:sz w:val="22"/>
                <w:szCs w:val="22"/>
              </w:rPr>
              <w:t>VERSIÓN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948811" w14:textId="77777777" w:rsidR="00800829" w:rsidRPr="00220232" w:rsidRDefault="00800829" w:rsidP="00800829">
            <w:pPr>
              <w:jc w:val="center"/>
              <w:rPr>
                <w:b/>
                <w:sz w:val="22"/>
                <w:szCs w:val="22"/>
              </w:rPr>
            </w:pPr>
            <w:r w:rsidRPr="00220232">
              <w:rPr>
                <w:b/>
                <w:sz w:val="22"/>
                <w:szCs w:val="22"/>
              </w:rPr>
              <w:t>ÍTEM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34D9B4" w14:textId="77777777" w:rsidR="00800829" w:rsidRPr="00220232" w:rsidRDefault="00800829" w:rsidP="00800829">
            <w:pPr>
              <w:jc w:val="center"/>
              <w:rPr>
                <w:b/>
                <w:sz w:val="22"/>
                <w:szCs w:val="22"/>
              </w:rPr>
            </w:pPr>
            <w:r w:rsidRPr="00220232">
              <w:rPr>
                <w:b/>
                <w:sz w:val="22"/>
                <w:szCs w:val="22"/>
              </w:rPr>
              <w:t>MODIFICACIÓN</w:t>
            </w:r>
          </w:p>
        </w:tc>
      </w:tr>
      <w:tr w:rsidR="00800829" w:rsidRPr="00220232" w14:paraId="2DE60167" w14:textId="77777777" w:rsidTr="00D9158E">
        <w:trPr>
          <w:trHeight w:val="619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C91B" w14:textId="77777777" w:rsidR="00800829" w:rsidRDefault="00800829" w:rsidP="00800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Noviembre 2015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B010D" w14:textId="77777777" w:rsidR="00800829" w:rsidRDefault="00800829" w:rsidP="00800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2D75" w14:textId="77777777" w:rsidR="00800829" w:rsidRDefault="00800829" w:rsidP="00800829">
            <w:pPr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C443" w14:textId="77777777" w:rsidR="00800829" w:rsidRDefault="00800829" w:rsidP="00800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Creación del documento</w:t>
            </w:r>
          </w:p>
        </w:tc>
      </w:tr>
      <w:tr w:rsidR="00800829" w:rsidRPr="00220232" w14:paraId="267C7564" w14:textId="77777777" w:rsidTr="00D9158E">
        <w:trPr>
          <w:trHeight w:val="619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95B2" w14:textId="77777777" w:rsidR="00800829" w:rsidRDefault="00800829" w:rsidP="00800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Mayo 2019</w:t>
            </w:r>
          </w:p>
          <w:p w14:paraId="3C0BC03B" w14:textId="77777777" w:rsidR="00800829" w:rsidRPr="00220232" w:rsidRDefault="00800829" w:rsidP="008008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66EF" w14:textId="77777777" w:rsidR="00800829" w:rsidRPr="00220232" w:rsidRDefault="00800829" w:rsidP="00800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ADF3" w14:textId="77777777" w:rsidR="00800829" w:rsidRDefault="00800829" w:rsidP="00800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Requisitos UCM </w:t>
            </w:r>
          </w:p>
          <w:p w14:paraId="673D15EC" w14:textId="77777777" w:rsidR="00800829" w:rsidRDefault="00800829" w:rsidP="00800829">
            <w:pPr>
              <w:rPr>
                <w:sz w:val="22"/>
                <w:szCs w:val="22"/>
              </w:rPr>
            </w:pPr>
          </w:p>
          <w:p w14:paraId="2D7EE5FD" w14:textId="77777777" w:rsidR="00800829" w:rsidRDefault="00800829" w:rsidP="00800829">
            <w:pPr>
              <w:rPr>
                <w:sz w:val="22"/>
                <w:szCs w:val="22"/>
              </w:rPr>
            </w:pPr>
          </w:p>
          <w:p w14:paraId="7849D9EC" w14:textId="77777777" w:rsidR="00800829" w:rsidRDefault="00800829" w:rsidP="00800829">
            <w:pPr>
              <w:rPr>
                <w:sz w:val="22"/>
                <w:szCs w:val="22"/>
              </w:rPr>
            </w:pPr>
          </w:p>
          <w:p w14:paraId="443A29B8" w14:textId="77777777" w:rsidR="00800829" w:rsidRDefault="00800829" w:rsidP="00800829">
            <w:pPr>
              <w:rPr>
                <w:sz w:val="22"/>
                <w:szCs w:val="22"/>
              </w:rPr>
            </w:pPr>
          </w:p>
          <w:p w14:paraId="065F62C5" w14:textId="77777777" w:rsidR="00800829" w:rsidRDefault="00800829" w:rsidP="00800829">
            <w:pPr>
              <w:rPr>
                <w:sz w:val="22"/>
                <w:szCs w:val="22"/>
              </w:rPr>
            </w:pPr>
          </w:p>
          <w:p w14:paraId="145CDAC3" w14:textId="77777777" w:rsidR="00800829" w:rsidRPr="00220232" w:rsidRDefault="00800829" w:rsidP="00800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Requisitos legislación vigente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3159" w14:textId="77777777" w:rsidR="00800829" w:rsidRDefault="00800829" w:rsidP="00800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reestructuro la caracterización:</w:t>
            </w:r>
          </w:p>
          <w:p w14:paraId="650EFA3F" w14:textId="77777777" w:rsidR="00800829" w:rsidRDefault="00800829" w:rsidP="00800829">
            <w:pPr>
              <w:rPr>
                <w:sz w:val="22"/>
                <w:szCs w:val="22"/>
              </w:rPr>
            </w:pPr>
          </w:p>
          <w:p w14:paraId="0AA337B4" w14:textId="77777777" w:rsidR="00800829" w:rsidRDefault="00800829" w:rsidP="00800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anexan dos documentos con sus respectivos acuerdos de aprobación</w:t>
            </w:r>
          </w:p>
          <w:p w14:paraId="329CAEB0" w14:textId="77777777" w:rsidR="00800829" w:rsidRDefault="00800829" w:rsidP="00800829">
            <w:pPr>
              <w:rPr>
                <w:sz w:val="22"/>
                <w:szCs w:val="22"/>
              </w:rPr>
            </w:pPr>
          </w:p>
          <w:p w14:paraId="3FE6558D" w14:textId="77777777" w:rsidR="00800829" w:rsidRDefault="00800829" w:rsidP="00800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retira el acuerdo 004 de 2013 del Archivo General de la Nación y se anexa el Acuerdo 004 de 2019 del Archivo General de la Nación que modifica el anterior</w:t>
            </w:r>
          </w:p>
          <w:p w14:paraId="026CE43C" w14:textId="77777777" w:rsidR="00800829" w:rsidRPr="00220232" w:rsidRDefault="00800829" w:rsidP="00800829">
            <w:pPr>
              <w:jc w:val="center"/>
              <w:rPr>
                <w:sz w:val="22"/>
                <w:szCs w:val="22"/>
              </w:rPr>
            </w:pPr>
          </w:p>
        </w:tc>
      </w:tr>
      <w:tr w:rsidR="00800829" w:rsidRPr="00220232" w14:paraId="139C7B83" w14:textId="77777777" w:rsidTr="00D9158E">
        <w:trPr>
          <w:trHeight w:val="619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3B86" w14:textId="77777777" w:rsidR="00800829" w:rsidRPr="00EE4246" w:rsidRDefault="00800829" w:rsidP="0080082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Agosto 2022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4504" w14:textId="77777777" w:rsidR="00800829" w:rsidRPr="00EE4246" w:rsidRDefault="00800829" w:rsidP="00800829">
            <w:pPr>
              <w:jc w:val="center"/>
              <w:rPr>
                <w:color w:val="FF0000"/>
                <w:sz w:val="22"/>
                <w:szCs w:val="22"/>
              </w:rPr>
            </w:pPr>
            <w:r w:rsidRPr="00EE4246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9347" w14:textId="77777777" w:rsidR="00800829" w:rsidRPr="00EE4246" w:rsidRDefault="00800829" w:rsidP="00800829">
            <w:pPr>
              <w:jc w:val="center"/>
              <w:rPr>
                <w:color w:val="FF0000"/>
                <w:sz w:val="22"/>
                <w:szCs w:val="22"/>
              </w:rPr>
            </w:pPr>
            <w:r w:rsidRPr="00EE4246">
              <w:rPr>
                <w:color w:val="FF0000"/>
                <w:sz w:val="22"/>
                <w:szCs w:val="22"/>
              </w:rPr>
              <w:t>Requisitos</w:t>
            </w:r>
          </w:p>
          <w:p w14:paraId="429AE921" w14:textId="77777777" w:rsidR="00800829" w:rsidRPr="00EE4246" w:rsidRDefault="00800829" w:rsidP="00800829">
            <w:pPr>
              <w:jc w:val="center"/>
              <w:rPr>
                <w:color w:val="FF0000"/>
                <w:sz w:val="22"/>
                <w:szCs w:val="22"/>
              </w:rPr>
            </w:pPr>
            <w:r w:rsidRPr="00EE4246">
              <w:rPr>
                <w:color w:val="FF0000"/>
                <w:sz w:val="22"/>
                <w:szCs w:val="22"/>
              </w:rPr>
              <w:t>Lineamientos de Calidad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64C3" w14:textId="77777777" w:rsidR="00800829" w:rsidRPr="00EE4246" w:rsidRDefault="00800829" w:rsidP="00780E5F">
            <w:pPr>
              <w:jc w:val="both"/>
              <w:rPr>
                <w:color w:val="FF0000"/>
                <w:sz w:val="22"/>
                <w:szCs w:val="22"/>
              </w:rPr>
            </w:pPr>
            <w:r w:rsidRPr="00EE4246">
              <w:rPr>
                <w:color w:val="FF0000"/>
                <w:sz w:val="22"/>
                <w:szCs w:val="22"/>
              </w:rPr>
              <w:t>Se actualizan los factores y las características de acreditación de acuerdo con la normatividad vigente.</w:t>
            </w:r>
          </w:p>
        </w:tc>
      </w:tr>
      <w:tr w:rsidR="00800829" w:rsidRPr="00220232" w14:paraId="6628BDD7" w14:textId="77777777" w:rsidTr="00D9158E">
        <w:trPr>
          <w:trHeight w:val="619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0EED" w14:textId="77777777" w:rsidR="00800829" w:rsidRPr="00EE4246" w:rsidRDefault="00800829" w:rsidP="0080082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Agosto 2022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9F18" w14:textId="77777777" w:rsidR="00800829" w:rsidRPr="00EE4246" w:rsidRDefault="00800829" w:rsidP="0080082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4571" w14:textId="77777777" w:rsidR="00800829" w:rsidRPr="00EE4246" w:rsidRDefault="00800829" w:rsidP="0080082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Procedimiento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E547" w14:textId="45C58E9F" w:rsidR="00800829" w:rsidRPr="00EE4246" w:rsidRDefault="00800829" w:rsidP="00780E5F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Se retira el procedimiento para el levantamiento de tablas de valoración documental </w:t>
            </w:r>
            <w:r w:rsidR="00780E5F">
              <w:rPr>
                <w:color w:val="FF0000"/>
                <w:sz w:val="22"/>
                <w:szCs w:val="22"/>
              </w:rPr>
              <w:t>.</w:t>
            </w:r>
          </w:p>
        </w:tc>
      </w:tr>
      <w:tr w:rsidR="000F066D" w:rsidRPr="00220232" w14:paraId="0E7A86DD" w14:textId="77777777" w:rsidTr="00D9158E">
        <w:trPr>
          <w:trHeight w:val="619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7D445" w14:textId="07CD6FBF" w:rsidR="000F066D" w:rsidRDefault="000F066D" w:rsidP="000F06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Agosto 2022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3BDF" w14:textId="6F44AB1B" w:rsidR="000F066D" w:rsidRDefault="000F066D" w:rsidP="000F06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CDED" w14:textId="386517E8" w:rsidR="000F066D" w:rsidRDefault="000F066D" w:rsidP="000F06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Procedimiento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D6EF" w14:textId="64B0C71A" w:rsidR="000F066D" w:rsidRDefault="000F066D" w:rsidP="00780E5F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Se retira el procedimiento para la radicación de comunicaciones externas en ventanilla</w:t>
            </w:r>
            <w:r w:rsidR="00780E5F">
              <w:rPr>
                <w:color w:val="FF0000"/>
                <w:sz w:val="22"/>
                <w:szCs w:val="22"/>
              </w:rPr>
              <w:t>.</w:t>
            </w:r>
          </w:p>
        </w:tc>
      </w:tr>
    </w:tbl>
    <w:p w14:paraId="412D7D4B" w14:textId="25054872" w:rsidR="000151A9" w:rsidRDefault="000151A9">
      <w:pPr>
        <w:jc w:val="both"/>
        <w:rPr>
          <w:sz w:val="22"/>
          <w:szCs w:val="22"/>
        </w:rPr>
      </w:pPr>
    </w:p>
    <w:p w14:paraId="56B8FD40" w14:textId="11D8772A" w:rsidR="00800829" w:rsidRDefault="00800829">
      <w:pPr>
        <w:jc w:val="both"/>
        <w:rPr>
          <w:sz w:val="22"/>
          <w:szCs w:val="22"/>
        </w:rPr>
      </w:pPr>
    </w:p>
    <w:p w14:paraId="386043DA" w14:textId="6017C182" w:rsidR="00800829" w:rsidRDefault="00800829">
      <w:pPr>
        <w:jc w:val="both"/>
        <w:rPr>
          <w:sz w:val="22"/>
          <w:szCs w:val="22"/>
        </w:rPr>
      </w:pPr>
    </w:p>
    <w:p w14:paraId="0A6784BA" w14:textId="405B87A5" w:rsidR="00800829" w:rsidRDefault="00800829">
      <w:pPr>
        <w:jc w:val="both"/>
        <w:rPr>
          <w:sz w:val="22"/>
          <w:szCs w:val="22"/>
        </w:rPr>
      </w:pPr>
    </w:p>
    <w:p w14:paraId="126FA800" w14:textId="77777777" w:rsidR="00800829" w:rsidRPr="00220232" w:rsidRDefault="00800829">
      <w:pPr>
        <w:jc w:val="both"/>
        <w:rPr>
          <w:sz w:val="22"/>
          <w:szCs w:val="22"/>
        </w:rPr>
      </w:pPr>
    </w:p>
    <w:p w14:paraId="70E288D6" w14:textId="77777777" w:rsidR="009915BE" w:rsidRPr="00220232" w:rsidRDefault="009915BE" w:rsidP="003041A6">
      <w:pPr>
        <w:rPr>
          <w:sz w:val="22"/>
          <w:szCs w:val="22"/>
        </w:rPr>
      </w:pPr>
      <w:bookmarkStart w:id="2" w:name="_heading=h.1fob9te" w:colFirst="0" w:colLast="0"/>
      <w:bookmarkEnd w:id="2"/>
    </w:p>
    <w:sectPr w:rsidR="009915BE" w:rsidRPr="00220232">
      <w:headerReference w:type="default" r:id="rId9"/>
      <w:footerReference w:type="default" r:id="rId10"/>
      <w:pgSz w:w="15840" w:h="12240" w:orient="landscape"/>
      <w:pgMar w:top="851" w:right="1134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7362E" w14:textId="77777777" w:rsidR="008119BA" w:rsidRDefault="008119BA">
      <w:r>
        <w:separator/>
      </w:r>
    </w:p>
  </w:endnote>
  <w:endnote w:type="continuationSeparator" w:id="0">
    <w:p w14:paraId="347FAFE5" w14:textId="77777777" w:rsidR="008119BA" w:rsidRDefault="0081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506DA" w14:textId="77777777" w:rsidR="009915BE" w:rsidRDefault="009915B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0"/>
      <w:tblW w:w="10678" w:type="dxa"/>
      <w:tblInd w:w="0" w:type="dxa"/>
      <w:tblBorders>
        <w:top w:val="nil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3559"/>
      <w:gridCol w:w="3559"/>
      <w:gridCol w:w="3560"/>
    </w:tblGrid>
    <w:tr w:rsidR="009915BE" w14:paraId="54C1E8AF" w14:textId="77777777">
      <w:tc>
        <w:tcPr>
          <w:tcW w:w="3559" w:type="dxa"/>
        </w:tcPr>
        <w:p w14:paraId="37F4C937" w14:textId="77777777" w:rsidR="009915BE" w:rsidRDefault="009915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3559" w:type="dxa"/>
        </w:tcPr>
        <w:p w14:paraId="44D80BBC" w14:textId="77777777" w:rsidR="009915BE" w:rsidRDefault="009915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3560" w:type="dxa"/>
        </w:tcPr>
        <w:p w14:paraId="2F471373" w14:textId="77777777" w:rsidR="009915BE" w:rsidRDefault="009915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2"/>
              <w:szCs w:val="22"/>
            </w:rPr>
          </w:pPr>
        </w:p>
      </w:tc>
    </w:tr>
  </w:tbl>
  <w:p w14:paraId="2E086D79" w14:textId="77777777" w:rsidR="009915BE" w:rsidRDefault="009915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3481A" w14:textId="77777777" w:rsidR="008119BA" w:rsidRDefault="008119BA">
      <w:r>
        <w:separator/>
      </w:r>
    </w:p>
  </w:footnote>
  <w:footnote w:type="continuationSeparator" w:id="0">
    <w:p w14:paraId="2C25B893" w14:textId="77777777" w:rsidR="008119BA" w:rsidRDefault="00811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8CE03" w14:textId="77777777" w:rsidR="009915BE" w:rsidRDefault="009915B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2"/>
        <w:szCs w:val="22"/>
      </w:rPr>
    </w:pPr>
  </w:p>
  <w:tbl>
    <w:tblPr>
      <w:tblW w:w="13871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82"/>
      <w:gridCol w:w="6990"/>
      <w:gridCol w:w="1700"/>
      <w:gridCol w:w="1699"/>
    </w:tblGrid>
    <w:tr w:rsidR="00C53951" w:rsidRPr="0000373F" w14:paraId="370E9007" w14:textId="77777777" w:rsidTr="00C53951">
      <w:trPr>
        <w:trHeight w:val="696"/>
      </w:trPr>
      <w:tc>
        <w:tcPr>
          <w:tcW w:w="3482" w:type="dxa"/>
          <w:vMerge w:val="restart"/>
          <w:shd w:val="clear" w:color="auto" w:fill="auto"/>
          <w:vAlign w:val="center"/>
        </w:tcPr>
        <w:p w14:paraId="29F41179" w14:textId="77777777" w:rsidR="00C53951" w:rsidRPr="0000373F" w:rsidRDefault="00C53951" w:rsidP="00C539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 w:rsidRPr="0000373F">
            <w:rPr>
              <w:noProof/>
              <w:sz w:val="22"/>
              <w:szCs w:val="22"/>
              <w:lang w:val="es-CO"/>
            </w:rPr>
            <w:drawing>
              <wp:anchor distT="0" distB="0" distL="114300" distR="114300" simplePos="0" relativeHeight="251658240" behindDoc="0" locked="0" layoutInCell="1" allowOverlap="1" wp14:anchorId="2EF7558A" wp14:editId="6199562A">
                <wp:simplePos x="0" y="0"/>
                <wp:positionH relativeFrom="column">
                  <wp:posOffset>327660</wp:posOffset>
                </wp:positionH>
                <wp:positionV relativeFrom="paragraph">
                  <wp:posOffset>16510</wp:posOffset>
                </wp:positionV>
                <wp:extent cx="1537335" cy="723900"/>
                <wp:effectExtent l="0" t="0" r="571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733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90" w:type="dxa"/>
          <w:shd w:val="clear" w:color="auto" w:fill="D9D9D9"/>
          <w:vAlign w:val="center"/>
        </w:tcPr>
        <w:p w14:paraId="134F1445" w14:textId="03DE2ED4" w:rsidR="00C53951" w:rsidRPr="00780E5F" w:rsidRDefault="00A30D2F" w:rsidP="00C53951">
          <w:pPr>
            <w:ind w:hanging="2"/>
            <w:jc w:val="center"/>
            <w:rPr>
              <w:b/>
              <w:sz w:val="22"/>
              <w:szCs w:val="22"/>
            </w:rPr>
          </w:pPr>
          <w:r w:rsidRPr="00780E5F">
            <w:rPr>
              <w:b/>
              <w:sz w:val="22"/>
              <w:szCs w:val="22"/>
            </w:rPr>
            <w:t>GESTIÓN DOCUMENTAL</w:t>
          </w:r>
        </w:p>
      </w:tc>
      <w:tc>
        <w:tcPr>
          <w:tcW w:w="1700" w:type="dxa"/>
          <w:vAlign w:val="center"/>
        </w:tcPr>
        <w:p w14:paraId="5BC94F37" w14:textId="77777777" w:rsidR="00C53951" w:rsidRPr="00780E5F" w:rsidRDefault="00C53951" w:rsidP="00C539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  <w:sz w:val="22"/>
              <w:szCs w:val="22"/>
            </w:rPr>
          </w:pPr>
          <w:r w:rsidRPr="00780E5F">
            <w:rPr>
              <w:color w:val="000000"/>
              <w:sz w:val="22"/>
              <w:szCs w:val="22"/>
            </w:rPr>
            <w:t>Código:</w:t>
          </w:r>
        </w:p>
      </w:tc>
      <w:tc>
        <w:tcPr>
          <w:tcW w:w="1699" w:type="dxa"/>
          <w:vAlign w:val="center"/>
        </w:tcPr>
        <w:p w14:paraId="54F0DB01" w14:textId="0DDAE298" w:rsidR="00C53951" w:rsidRPr="0000373F" w:rsidRDefault="00A30D2F" w:rsidP="002C48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  <w:sz w:val="22"/>
              <w:szCs w:val="22"/>
              <w:highlight w:val="yellow"/>
            </w:rPr>
          </w:pPr>
          <w:r>
            <w:rPr>
              <w:sz w:val="22"/>
              <w:szCs w:val="22"/>
            </w:rPr>
            <w:t>GDO - C – 1</w:t>
          </w:r>
        </w:p>
      </w:tc>
    </w:tr>
    <w:tr w:rsidR="00C53951" w:rsidRPr="0000373F" w14:paraId="2CBD981E" w14:textId="77777777" w:rsidTr="00C53951">
      <w:trPr>
        <w:trHeight w:val="252"/>
      </w:trPr>
      <w:tc>
        <w:tcPr>
          <w:tcW w:w="3482" w:type="dxa"/>
          <w:vMerge/>
          <w:shd w:val="clear" w:color="auto" w:fill="auto"/>
          <w:vAlign w:val="bottom"/>
        </w:tcPr>
        <w:p w14:paraId="44B82E24" w14:textId="77777777" w:rsidR="00C53951" w:rsidRPr="0000373F" w:rsidRDefault="00C53951" w:rsidP="00C539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/>
            </w:rPr>
          </w:pPr>
        </w:p>
      </w:tc>
      <w:tc>
        <w:tcPr>
          <w:tcW w:w="6990" w:type="dxa"/>
          <w:vMerge w:val="restart"/>
          <w:shd w:val="clear" w:color="auto" w:fill="auto"/>
          <w:vAlign w:val="center"/>
        </w:tcPr>
        <w:p w14:paraId="68CEED7F" w14:textId="77777777" w:rsidR="00C53951" w:rsidRPr="0000373F" w:rsidRDefault="00C53951" w:rsidP="00C53951">
          <w:pPr>
            <w:ind w:hanging="2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CARACTERIZACIÓN DEL PROCESO</w:t>
          </w:r>
        </w:p>
      </w:tc>
      <w:tc>
        <w:tcPr>
          <w:tcW w:w="1700" w:type="dxa"/>
          <w:vAlign w:val="center"/>
        </w:tcPr>
        <w:p w14:paraId="657A19D8" w14:textId="77777777" w:rsidR="00C53951" w:rsidRPr="0000373F" w:rsidRDefault="00C53951" w:rsidP="00C539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  <w:sz w:val="22"/>
              <w:szCs w:val="22"/>
            </w:rPr>
          </w:pPr>
          <w:r w:rsidRPr="0000373F">
            <w:rPr>
              <w:color w:val="000000"/>
              <w:sz w:val="22"/>
              <w:szCs w:val="22"/>
            </w:rPr>
            <w:t>Versión:</w:t>
          </w:r>
        </w:p>
      </w:tc>
      <w:tc>
        <w:tcPr>
          <w:tcW w:w="1699" w:type="dxa"/>
          <w:vAlign w:val="center"/>
        </w:tcPr>
        <w:p w14:paraId="183E6536" w14:textId="2DB40921" w:rsidR="00C53951" w:rsidRPr="0000373F" w:rsidRDefault="00A30D2F" w:rsidP="00C539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  <w:sz w:val="22"/>
              <w:szCs w:val="22"/>
              <w:highlight w:val="yellow"/>
            </w:rPr>
          </w:pPr>
          <w:r>
            <w:rPr>
              <w:color w:val="000000"/>
              <w:sz w:val="22"/>
              <w:szCs w:val="22"/>
              <w:highlight w:val="yellow"/>
            </w:rPr>
            <w:t>3</w:t>
          </w:r>
        </w:p>
      </w:tc>
    </w:tr>
    <w:tr w:rsidR="00C53951" w:rsidRPr="0000373F" w14:paraId="2758447D" w14:textId="77777777" w:rsidTr="00C53951">
      <w:trPr>
        <w:trHeight w:val="252"/>
      </w:trPr>
      <w:tc>
        <w:tcPr>
          <w:tcW w:w="3482" w:type="dxa"/>
          <w:vMerge/>
          <w:shd w:val="clear" w:color="auto" w:fill="auto"/>
          <w:vAlign w:val="bottom"/>
        </w:tcPr>
        <w:p w14:paraId="00818607" w14:textId="77777777" w:rsidR="00C53951" w:rsidRPr="0000373F" w:rsidRDefault="00C53951" w:rsidP="00C539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/>
            </w:rPr>
          </w:pPr>
        </w:p>
      </w:tc>
      <w:tc>
        <w:tcPr>
          <w:tcW w:w="6990" w:type="dxa"/>
          <w:vMerge/>
          <w:shd w:val="clear" w:color="auto" w:fill="auto"/>
          <w:vAlign w:val="center"/>
        </w:tcPr>
        <w:p w14:paraId="03FF66D4" w14:textId="77777777" w:rsidR="00C53951" w:rsidRPr="0000373F" w:rsidRDefault="00C53951" w:rsidP="00C53951">
          <w:pPr>
            <w:ind w:hanging="2"/>
            <w:jc w:val="center"/>
            <w:rPr>
              <w:b/>
              <w:sz w:val="22"/>
              <w:szCs w:val="22"/>
            </w:rPr>
          </w:pPr>
        </w:p>
      </w:tc>
      <w:tc>
        <w:tcPr>
          <w:tcW w:w="1700" w:type="dxa"/>
          <w:vAlign w:val="center"/>
        </w:tcPr>
        <w:p w14:paraId="781893E7" w14:textId="77777777" w:rsidR="00C53951" w:rsidRPr="0000373F" w:rsidRDefault="00C53951" w:rsidP="00C539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  <w:sz w:val="22"/>
              <w:szCs w:val="22"/>
            </w:rPr>
          </w:pPr>
          <w:r w:rsidRPr="0000373F">
            <w:rPr>
              <w:color w:val="000000"/>
              <w:sz w:val="22"/>
              <w:szCs w:val="22"/>
            </w:rPr>
            <w:t>Página:</w:t>
          </w:r>
        </w:p>
      </w:tc>
      <w:tc>
        <w:tcPr>
          <w:tcW w:w="1699" w:type="dxa"/>
          <w:vAlign w:val="center"/>
        </w:tcPr>
        <w:p w14:paraId="61EEF5CB" w14:textId="795A89A9" w:rsidR="00C53951" w:rsidRPr="0000373F" w:rsidRDefault="00C53951" w:rsidP="00C539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  <w:sz w:val="22"/>
              <w:szCs w:val="22"/>
            </w:rPr>
          </w:pPr>
          <w:r w:rsidRPr="0000373F">
            <w:rPr>
              <w:color w:val="000000"/>
              <w:sz w:val="22"/>
              <w:szCs w:val="22"/>
            </w:rPr>
            <w:fldChar w:fldCharType="begin"/>
          </w:r>
          <w:r w:rsidRPr="0000373F">
            <w:rPr>
              <w:color w:val="000000"/>
              <w:sz w:val="22"/>
              <w:szCs w:val="22"/>
            </w:rPr>
            <w:instrText>PAGE</w:instrText>
          </w:r>
          <w:r w:rsidRPr="0000373F">
            <w:rPr>
              <w:color w:val="000000"/>
              <w:sz w:val="22"/>
              <w:szCs w:val="22"/>
            </w:rPr>
            <w:fldChar w:fldCharType="separate"/>
          </w:r>
          <w:r w:rsidR="008A69AD">
            <w:rPr>
              <w:noProof/>
              <w:color w:val="000000"/>
              <w:sz w:val="22"/>
              <w:szCs w:val="22"/>
            </w:rPr>
            <w:t>13</w:t>
          </w:r>
          <w:r w:rsidRPr="0000373F">
            <w:rPr>
              <w:color w:val="000000"/>
              <w:sz w:val="22"/>
              <w:szCs w:val="22"/>
            </w:rPr>
            <w:fldChar w:fldCharType="end"/>
          </w:r>
          <w:r w:rsidRPr="0000373F">
            <w:rPr>
              <w:color w:val="000000"/>
              <w:sz w:val="22"/>
              <w:szCs w:val="22"/>
            </w:rPr>
            <w:t xml:space="preserve"> de </w:t>
          </w:r>
          <w:r w:rsidR="00A30D2F">
            <w:rPr>
              <w:color w:val="000000"/>
              <w:sz w:val="22"/>
              <w:szCs w:val="22"/>
            </w:rPr>
            <w:t>1</w:t>
          </w:r>
          <w:r w:rsidR="00D062AD">
            <w:rPr>
              <w:color w:val="000000"/>
              <w:sz w:val="22"/>
              <w:szCs w:val="22"/>
            </w:rPr>
            <w:t>3</w:t>
          </w:r>
        </w:p>
      </w:tc>
    </w:tr>
  </w:tbl>
  <w:p w14:paraId="00483DCA" w14:textId="77777777" w:rsidR="009915BE" w:rsidRDefault="009915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50563"/>
    <w:multiLevelType w:val="multilevel"/>
    <w:tmpl w:val="A0D23A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ED28B1"/>
    <w:multiLevelType w:val="multilevel"/>
    <w:tmpl w:val="9EB295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957C73"/>
    <w:multiLevelType w:val="multilevel"/>
    <w:tmpl w:val="17C894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881226"/>
    <w:multiLevelType w:val="multilevel"/>
    <w:tmpl w:val="E3BE9DB6"/>
    <w:lvl w:ilvl="0">
      <w:start w:val="1"/>
      <w:numFmt w:val="bullet"/>
      <w:lvlText w:val="●"/>
      <w:lvlJc w:val="left"/>
      <w:pPr>
        <w:ind w:left="22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14A1FF0"/>
    <w:multiLevelType w:val="multilevel"/>
    <w:tmpl w:val="D02E03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FB6B70"/>
    <w:multiLevelType w:val="multilevel"/>
    <w:tmpl w:val="08EA44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224830"/>
    <w:multiLevelType w:val="multilevel"/>
    <w:tmpl w:val="2278A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490BEB"/>
    <w:multiLevelType w:val="multilevel"/>
    <w:tmpl w:val="C6FADC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BE"/>
    <w:rsid w:val="000151A9"/>
    <w:rsid w:val="000707C4"/>
    <w:rsid w:val="000A4E0C"/>
    <w:rsid w:val="000C49B7"/>
    <w:rsid w:val="000F066D"/>
    <w:rsid w:val="001A436A"/>
    <w:rsid w:val="00220232"/>
    <w:rsid w:val="00266BC3"/>
    <w:rsid w:val="002C489B"/>
    <w:rsid w:val="003041A6"/>
    <w:rsid w:val="00382F31"/>
    <w:rsid w:val="003A4E24"/>
    <w:rsid w:val="003C7B6A"/>
    <w:rsid w:val="0045305E"/>
    <w:rsid w:val="0047016A"/>
    <w:rsid w:val="00492503"/>
    <w:rsid w:val="004A5CC9"/>
    <w:rsid w:val="00542500"/>
    <w:rsid w:val="0056119D"/>
    <w:rsid w:val="00593528"/>
    <w:rsid w:val="005E2909"/>
    <w:rsid w:val="00605277"/>
    <w:rsid w:val="0062159B"/>
    <w:rsid w:val="006E4019"/>
    <w:rsid w:val="006E7D3C"/>
    <w:rsid w:val="00702ACB"/>
    <w:rsid w:val="007350C7"/>
    <w:rsid w:val="00780E5F"/>
    <w:rsid w:val="007E5A5C"/>
    <w:rsid w:val="00800829"/>
    <w:rsid w:val="00804FE6"/>
    <w:rsid w:val="008119BA"/>
    <w:rsid w:val="00862A55"/>
    <w:rsid w:val="008A69AD"/>
    <w:rsid w:val="00933750"/>
    <w:rsid w:val="0094486C"/>
    <w:rsid w:val="009654EC"/>
    <w:rsid w:val="009915BE"/>
    <w:rsid w:val="00A30D2F"/>
    <w:rsid w:val="00B75553"/>
    <w:rsid w:val="00BB4FAA"/>
    <w:rsid w:val="00C000F3"/>
    <w:rsid w:val="00C05D53"/>
    <w:rsid w:val="00C461C9"/>
    <w:rsid w:val="00C53951"/>
    <w:rsid w:val="00C82F5A"/>
    <w:rsid w:val="00C93FE8"/>
    <w:rsid w:val="00CE64A4"/>
    <w:rsid w:val="00D0300A"/>
    <w:rsid w:val="00D062AD"/>
    <w:rsid w:val="00D669C4"/>
    <w:rsid w:val="00D9158E"/>
    <w:rsid w:val="00DA501A"/>
    <w:rsid w:val="00E27388"/>
    <w:rsid w:val="00E650CC"/>
    <w:rsid w:val="00E85983"/>
    <w:rsid w:val="00EB22E1"/>
    <w:rsid w:val="00EC6084"/>
    <w:rsid w:val="00EE4246"/>
    <w:rsid w:val="00F73446"/>
    <w:rsid w:val="00F80930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4FAD2"/>
  <w15:docId w15:val="{AB5F58EE-5AF0-4F00-8926-5B5D9E80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23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C3C"/>
  </w:style>
  <w:style w:type="paragraph" w:styleId="Piedepgina">
    <w:name w:val="footer"/>
    <w:basedOn w:val="Normal"/>
    <w:link w:val="PiedepginaCar"/>
    <w:uiPriority w:val="99"/>
    <w:unhideWhenUsed/>
    <w:rsid w:val="00A23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C3C"/>
  </w:style>
  <w:style w:type="paragraph" w:styleId="Prrafodelista">
    <w:name w:val="List Paragraph"/>
    <w:basedOn w:val="Normal"/>
    <w:uiPriority w:val="34"/>
    <w:qFormat/>
    <w:rsid w:val="009A4A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3CAF"/>
    <w:rPr>
      <w:color w:val="0000FF"/>
      <w:u w:val="single"/>
    </w:r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f.gov.co/cargues/avance/docs/ley_1712_201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4lXUHZvrUHqPSd2+CtjnhT7aSg==">AMUW2mX8YKo+Ngm9TFMwTXSFAKPiDKMSXjqahR4khqQ04aUwTCS23lpDD49Krp64RiOr57a4uQj51SXYK3eQqJ1GCgn7Qxw+3pwLeCnWh7rcgBSCrCtHE8i+AimRG2W4/qN80IOz0KOwWXJXtFqu611s46k1m4qWTQ==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13</Pages>
  <Words>1864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Calderón</dc:creator>
  <cp:lastModifiedBy>USUARIO</cp:lastModifiedBy>
  <cp:revision>42</cp:revision>
  <dcterms:created xsi:type="dcterms:W3CDTF">2022-08-09T20:07:00Z</dcterms:created>
  <dcterms:modified xsi:type="dcterms:W3CDTF">2022-09-15T21:47:00Z</dcterms:modified>
</cp:coreProperties>
</file>