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8505"/>
        <w:tblGridChange w:id="0">
          <w:tblGrid>
            <w:gridCol w:w="1560"/>
            <w:gridCol w:w="850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Establecer lineamientos institucionales para la formulación y diseño de programas de Educación Continuada Virtuales (diplomado, curso, MOOC) con su respectivo presupuesto y aprobación por parte de las instancias académicas y administrativas competentes.</w:t>
            </w:r>
          </w:p>
        </w:tc>
      </w:tr>
    </w:tbl>
    <w:p w:rsidR="00000000" w:rsidDel="00000000" w:rsidP="00000000" w:rsidRDefault="00000000" w:rsidRPr="00000000" w14:paraId="00000004">
      <w:pPr>
        <w:ind w:left="0" w:hanging="2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8505"/>
        <w:tblGridChange w:id="0">
          <w:tblGrid>
            <w:gridCol w:w="1560"/>
            <w:gridCol w:w="850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ALCANCE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Educación continuada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: Desde la identificación de la oportunidad de formular una propuesta de educación continuada hasta la certificación.</w:t>
            </w:r>
          </w:p>
        </w:tc>
      </w:tr>
    </w:tbl>
    <w:p w:rsidR="00000000" w:rsidDel="00000000" w:rsidP="00000000" w:rsidRDefault="00000000" w:rsidRPr="00000000" w14:paraId="00000007">
      <w:pPr>
        <w:ind w:left="0" w:hanging="2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7"/>
        <w:gridCol w:w="8268"/>
        <w:tblGridChange w:id="0">
          <w:tblGrid>
            <w:gridCol w:w="1797"/>
            <w:gridCol w:w="826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DEFINICIONES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0" w:hanging="2"/>
              <w:jc w:val="both"/>
              <w:rPr>
                <w:color w:val="3b3838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Diplomado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: Son cursos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 máximo 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44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 horas (3 créditos académicos) y mínimo de 120 horas, que conducen a una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certificación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. Tiene como propósito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ofrecer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 una formación especializada o actualización en un tema de una determinada área del conocimiento, buscando mejorar éste o perfeccionar las habilidades y destrezas de los participantes. Está organizado por unidades o módulos, que pueden variar entre 3 y 6. Su duración dependerá del área de estudio, los contenidos, el nivel de profundidad, la metodología y los propósitos de formación.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Curso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: Es el estudio o análisis de un tema concreto, de forma estructurada, que pretende la apropiación de conocimientos o fortalecimiento de habilidades muy específicas en un periodo de tiempo que puede variar en función del nivel de profundidad de la temática, su complejidad y extensión conceptual. Se certifica la asistencia y aprobación.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Mooc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: (Massive Open Online Courses), son un tipo especial de cursos de formación virtual con propuestas orientadas a la difusión web de contenidos y un plan de actividades de aprendizaje abierto a la colaboración y la participación masiva.</w:t>
            </w:r>
          </w:p>
        </w:tc>
      </w:tr>
    </w:tbl>
    <w:p w:rsidR="00000000" w:rsidDel="00000000" w:rsidP="00000000" w:rsidRDefault="00000000" w:rsidRPr="00000000" w14:paraId="0000000C">
      <w:pPr>
        <w:ind w:left="0" w:hanging="2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0.0" w:type="dxa"/>
        <w:jc w:val="left"/>
        <w:tblInd w:w="-1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"/>
        <w:gridCol w:w="525"/>
        <w:gridCol w:w="4395"/>
        <w:gridCol w:w="2490"/>
        <w:gridCol w:w="2325"/>
        <w:tblGridChange w:id="0">
          <w:tblGrid>
            <w:gridCol w:w="375"/>
            <w:gridCol w:w="525"/>
            <w:gridCol w:w="4395"/>
            <w:gridCol w:w="2490"/>
            <w:gridCol w:w="232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0D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PROCEDIMIENTO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PHVA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ind w:left="0" w:hanging="2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ACTIVIDAD / DESCRIPCIÓN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REGISTRO (MEDIO DE VERIFICACIÓN)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H/V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Para iniciar la formulación de propuestas de educación continuada virtuales es importante tener en cuenta: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Lineamientos del Proyecto Educativo Universitario, políticas institucionales,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Plataforma Estratégica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 y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Sistema Institucional de Educación a Distancia y Virtual.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Viabilidad jurídica y financiera: Pertinencia legal y presupuestal de la propuesta.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Legislación vigente, políticas públicas y planes de desarrollo locales, regionales, nacionales y planes sectoriales.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Decanos(a) de Facultad, directores de Programa y grupos de investigación.</w:t>
            </w:r>
          </w:p>
          <w:p w:rsidR="00000000" w:rsidDel="00000000" w:rsidP="00000000" w:rsidRDefault="00000000" w:rsidRPr="00000000" w14:paraId="0000001E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Unidad de Servicios Académicos y Educación Continuada</w:t>
            </w:r>
          </w:p>
          <w:p w:rsidR="00000000" w:rsidDel="00000000" w:rsidP="00000000" w:rsidRDefault="00000000" w:rsidRPr="00000000" w14:paraId="00000021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Formato de Información General</w:t>
            </w:r>
          </w:p>
          <w:p w:rsidR="00000000" w:rsidDel="00000000" w:rsidP="00000000" w:rsidRDefault="00000000" w:rsidRPr="00000000" w14:paraId="00000023">
            <w:pPr>
              <w:ind w:left="0" w:hanging="2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H/V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0" w:hanging="2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Las unidades generadoras enviarán a la Unidad de Servicios Académicos el Formato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highlight w:val="yellow"/>
                <w:rtl w:val="0"/>
              </w:rPr>
              <w:t xml:space="preserve">F-59 o F-61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 para cursos y diplomados virtuales o el formato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highlight w:val="yellow"/>
                <w:rtl w:val="0"/>
              </w:rPr>
              <w:t xml:space="preserve">F62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 para MOOC, diligenciado.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Decanos(a) de Facultad, directores de Programa y grupos de investigación.</w:t>
            </w:r>
          </w:p>
          <w:p w:rsidR="00000000" w:rsidDel="00000000" w:rsidP="00000000" w:rsidRDefault="00000000" w:rsidRPr="00000000" w14:paraId="00000028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Unidad de Servicios Académicos y Educación Continuada</w:t>
            </w:r>
          </w:p>
          <w:p w:rsidR="00000000" w:rsidDel="00000000" w:rsidP="00000000" w:rsidRDefault="00000000" w:rsidRPr="00000000" w14:paraId="0000002B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Formato de Información General / Carta de Solicitud / Correo electrónico/SAIA.</w:t>
            </w:r>
          </w:p>
          <w:p w:rsidR="00000000" w:rsidDel="00000000" w:rsidP="00000000" w:rsidRDefault="00000000" w:rsidRPr="00000000" w14:paraId="0000002D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Acta de Consejo de Facultad, Acta de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Consejo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 de Rectoría.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H/V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Las propuestas de educación continuada virtuales, antes de ser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apoyadas,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tanto por la Unidad de Servicios Académicos como la UIEDV, 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 deberán estar avaladas por la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Vicerrectoría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 A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ad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ém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ica y tener su respectivo presupuesto realizado, verificado y aprobado por el Líder de Presupuesto, la Dirección Administrativa y Financiera y la Vicerrectoría Administrativa y Financiera, respectivamente.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Unidad de Servicios Académicos y Educación Continuada</w:t>
            </w:r>
          </w:p>
          <w:p w:rsidR="00000000" w:rsidDel="00000000" w:rsidP="00000000" w:rsidRDefault="00000000" w:rsidRPr="00000000" w14:paraId="00000032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Líder de Presupuestos</w:t>
            </w:r>
          </w:p>
          <w:p w:rsidR="00000000" w:rsidDel="00000000" w:rsidP="00000000" w:rsidRDefault="00000000" w:rsidRPr="00000000" w14:paraId="00000034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Dirección Administrativa y Financiera</w:t>
            </w:r>
          </w:p>
          <w:p w:rsidR="00000000" w:rsidDel="00000000" w:rsidP="00000000" w:rsidRDefault="00000000" w:rsidRPr="00000000" w14:paraId="00000036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Vicerrectoría Administrativa y Financiera</w:t>
            </w:r>
          </w:p>
          <w:p w:rsidR="00000000" w:rsidDel="00000000" w:rsidP="00000000" w:rsidRDefault="00000000" w:rsidRPr="00000000" w14:paraId="00000038">
            <w:pPr>
              <w:ind w:left="0" w:hanging="2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0" w:hanging="2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Vicerrectoría Académica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Formato de presupuesto</w:t>
            </w:r>
          </w:p>
          <w:p w:rsidR="00000000" w:rsidDel="00000000" w:rsidP="00000000" w:rsidRDefault="00000000" w:rsidRPr="00000000" w14:paraId="0000003B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H/V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Remisión de los formatos de estructuración del programa de educación continuada por parte del proponente a la Asesora Pedagógica para su respectiva validación.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Decanos(a) de Facultad, directores de Programa y grupos de investigación.</w:t>
            </w:r>
          </w:p>
          <w:p w:rsidR="00000000" w:rsidDel="00000000" w:rsidP="00000000" w:rsidRDefault="00000000" w:rsidRPr="00000000" w14:paraId="00000040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UIEDV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Formato de Syllabus,</w:t>
            </w:r>
          </w:p>
          <w:p w:rsidR="00000000" w:rsidDel="00000000" w:rsidP="00000000" w:rsidRDefault="00000000" w:rsidRPr="00000000" w14:paraId="00000042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Mediador pedagógico</w:t>
            </w:r>
          </w:p>
          <w:p w:rsidR="00000000" w:rsidDel="00000000" w:rsidP="00000000" w:rsidRDefault="00000000" w:rsidRPr="00000000" w14:paraId="00000043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H/V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Una vez tenga el visto bueno del asesor pedagógico del Centro de Enseñanza, Aprendizaje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y Evaluación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 y del diseñador instruccional de la UIEDV, el Syllabus pasa al Centro Editorial para la respectiva corrección de estilo y gramática y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posteriormente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 a la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UIEDV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 para iniciar el proceso de creación y/o actualización de medios didácticos y adecuación del Aula Virtual.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Decanos(a) de Facultad, directores de Programa y grupos de investigación.</w:t>
            </w:r>
          </w:p>
          <w:p w:rsidR="00000000" w:rsidDel="00000000" w:rsidP="00000000" w:rsidRDefault="00000000" w:rsidRPr="00000000" w14:paraId="00000048">
            <w:pPr>
              <w:ind w:left="0" w:hanging="2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Centro de Enseñanza, Aprendizaje y Evaluación</w:t>
            </w:r>
          </w:p>
          <w:p w:rsidR="00000000" w:rsidDel="00000000" w:rsidP="00000000" w:rsidRDefault="00000000" w:rsidRPr="00000000" w14:paraId="0000004A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Centro Editorial</w:t>
            </w:r>
          </w:p>
          <w:p w:rsidR="00000000" w:rsidDel="00000000" w:rsidP="00000000" w:rsidRDefault="00000000" w:rsidRPr="00000000" w14:paraId="0000004C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UIEDV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Correo electrónico/SAIA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H/V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Se solicita a la Unidad de Marca, por parte de la Unidad de Servicios Académicos y Educación Continuada, el diseño de la pieza publicitaria que corresponda a la oferta de educación continuada. </w:t>
            </w:r>
          </w:p>
          <w:p w:rsidR="00000000" w:rsidDel="00000000" w:rsidP="00000000" w:rsidRDefault="00000000" w:rsidRPr="00000000" w14:paraId="00000051">
            <w:p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Una vez se tenga el visto bueno del Centro Editorial la UIEDV deberá adecuar el contenido creando los medios infográficos y didácticos respectivos: Videos, animaciones, infografías, etc.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Unidad de Servicios Académicos y Educación Continuada</w:t>
            </w:r>
          </w:p>
          <w:p w:rsidR="00000000" w:rsidDel="00000000" w:rsidP="00000000" w:rsidRDefault="00000000" w:rsidRPr="00000000" w14:paraId="00000054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UIEDV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Servimercadeo </w:t>
            </w:r>
          </w:p>
          <w:p w:rsidR="00000000" w:rsidDel="00000000" w:rsidP="00000000" w:rsidRDefault="00000000" w:rsidRPr="00000000" w14:paraId="00000057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Pieza publicitaria terminada enviada por correo</w:t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Se envía a la Unidad de Comunicaciones la pieza publicitaria correspondiente a la oferta de educación continuada virtual para su difusión a través de la intranet y las redes sociales de la Universidad, una vez el aula virtual este diseñada y validada por el proponente.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Unidad de Servicios Académicos y Educación Continuada</w:t>
            </w:r>
          </w:p>
          <w:p w:rsidR="00000000" w:rsidDel="00000000" w:rsidP="00000000" w:rsidRDefault="00000000" w:rsidRPr="00000000" w14:paraId="0000005C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UIEDV</w:t>
            </w:r>
          </w:p>
          <w:p w:rsidR="00000000" w:rsidDel="00000000" w:rsidP="00000000" w:rsidRDefault="00000000" w:rsidRPr="00000000" w14:paraId="0000005D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Unidad de Comunicaciones</w:t>
            </w:r>
          </w:p>
          <w:p w:rsidR="00000000" w:rsidDel="00000000" w:rsidP="00000000" w:rsidRDefault="00000000" w:rsidRPr="00000000" w14:paraId="0000005E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Unidad de Graduados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Piezas terminadas enviadas por correo, intranet y redes sociales.</w:t>
            </w:r>
          </w:p>
          <w:p w:rsidR="00000000" w:rsidDel="00000000" w:rsidP="00000000" w:rsidRDefault="00000000" w:rsidRPr="00000000" w14:paraId="00000060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H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Oferta y comercialización de las propuestas presentadas al sector externo.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Unidad de Servicios Académicos y Educación Continuada</w:t>
            </w:r>
          </w:p>
          <w:p w:rsidR="00000000" w:rsidDel="00000000" w:rsidP="00000000" w:rsidRDefault="00000000" w:rsidRPr="00000000" w14:paraId="00000065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Decanos (as) de las facultades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Formato Cumplido de Comisión y/o correo electrónico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Para educación continuada, el responsable de la unidad generadora de la propuesta debe ejecutar en articulación con la coordinación de la Unidad de Servicios Académicos y Educación Continuada, la elaboración de las rutas de contratación, reserva de auditorios o aulas (cuando se requiera), seguimiento a la asistencia de los participantes (estadísticas de plataforma) y evaluación del proceso formativo.</w:t>
            </w:r>
          </w:p>
          <w:p w:rsidR="00000000" w:rsidDel="00000000" w:rsidP="00000000" w:rsidRDefault="00000000" w:rsidRPr="00000000" w14:paraId="0000006B">
            <w:p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Una vez asignado el profesor líder, éste verificará que el aula virtual se encuentre lista para darle apertura al componente académico.</w:t>
            </w:r>
          </w:p>
          <w:p w:rsidR="00000000" w:rsidDel="00000000" w:rsidP="00000000" w:rsidRDefault="00000000" w:rsidRPr="00000000" w14:paraId="0000006D">
            <w:p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El desarrollo del componente académico se realizará de acuerdo con los lineamientos establecidos en el Sistema Institucional de Educación a Distancia y Virtual.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ind w:left="0" w:hanging="2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Líder de la propuesta</w:t>
            </w:r>
          </w:p>
          <w:p w:rsidR="00000000" w:rsidDel="00000000" w:rsidP="00000000" w:rsidRDefault="00000000" w:rsidRPr="00000000" w14:paraId="00000071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Unidad de Contratación</w:t>
            </w:r>
          </w:p>
          <w:p w:rsidR="00000000" w:rsidDel="00000000" w:rsidP="00000000" w:rsidRDefault="00000000" w:rsidRPr="00000000" w14:paraId="00000073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Unidad de Servicios Académicos y Educación Continuada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Hoja de ruta de contratación</w:t>
            </w:r>
          </w:p>
          <w:p w:rsidR="00000000" w:rsidDel="00000000" w:rsidP="00000000" w:rsidRDefault="00000000" w:rsidRPr="00000000" w14:paraId="00000076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Control de asistencia.</w:t>
            </w:r>
          </w:p>
          <w:p w:rsidR="00000000" w:rsidDel="00000000" w:rsidP="00000000" w:rsidRDefault="00000000" w:rsidRPr="00000000" w14:paraId="00000078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Evaluación del proceso formativo.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H/V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Para la certificación de la propuesta formativa de educación continuada virtual, la Unidad de Servicios Académicos y Educación Continuada procede a efectuar la revisión de asistencia (estadísticas de plataforma) y cumplimiento para tramitar la certificación así: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Cuando la certificación es digital, se solicita el diseño del certificado a la Unidad de Marca.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Una vez entregado el diseño, con éste se envían los datos del evento y la lista de los participantes a certificar a la Unidad de Sistemas de Información, quienes en comunicación estricta con el sistema académico SIGA actualizarán la información a la página web UCM. Cada participante si cumplió previamente con todos los requisitos, podrá descargar su certificado ingresando con el número del documento de identidad. 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Cuando la certificación es física, se solicita el diseño del certificado a la Unidad de Marca, se envían los datos del evento y la lista de los participantes para que sean impresos.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Recibido de la Unidad de Marca los certificados físicos, los cuales ya traen las firmas respectivas de Secretaria General y Rectoría.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Firmados los certificados, la Unidad de Servicios Académicos se encarga de la entrega de los certificados a los participantes.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Líder de la propuesta</w:t>
            </w:r>
          </w:p>
          <w:p w:rsidR="00000000" w:rsidDel="00000000" w:rsidP="00000000" w:rsidRDefault="00000000" w:rsidRPr="00000000" w14:paraId="00000083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Unidad de Servicios Académicos y Educación Continuada</w:t>
            </w:r>
          </w:p>
          <w:p w:rsidR="00000000" w:rsidDel="00000000" w:rsidP="00000000" w:rsidRDefault="00000000" w:rsidRPr="00000000" w14:paraId="00000085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Unidad de Mercadeo y Comunicaciones</w:t>
            </w:r>
          </w:p>
          <w:p w:rsidR="00000000" w:rsidDel="00000000" w:rsidP="00000000" w:rsidRDefault="00000000" w:rsidRPr="00000000" w14:paraId="00000087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Líder de Presupuestos</w:t>
            </w:r>
          </w:p>
          <w:p w:rsidR="00000000" w:rsidDel="00000000" w:rsidP="00000000" w:rsidRDefault="00000000" w:rsidRPr="00000000" w14:paraId="00000089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Unidad de Sistemas de Información</w:t>
            </w:r>
          </w:p>
          <w:p w:rsidR="00000000" w:rsidDel="00000000" w:rsidP="00000000" w:rsidRDefault="00000000" w:rsidRPr="00000000" w14:paraId="0000008B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Certificado o Constancias de Asistencia.</w:t>
            </w:r>
          </w:p>
          <w:p w:rsidR="00000000" w:rsidDel="00000000" w:rsidP="00000000" w:rsidRDefault="00000000" w:rsidRPr="00000000" w14:paraId="0000008E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ind w:left="0" w:hanging="2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hanging="2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76" w:lineRule="auto"/>
        <w:ind w:left="0" w:hanging="2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11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0"/>
        <w:gridCol w:w="2970"/>
        <w:gridCol w:w="2400"/>
        <w:gridCol w:w="1981"/>
        <w:tblGridChange w:id="0">
          <w:tblGrid>
            <w:gridCol w:w="2460"/>
            <w:gridCol w:w="2970"/>
            <w:gridCol w:w="2400"/>
            <w:gridCol w:w="198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spacing w:line="276" w:lineRule="auto"/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UIEDV</w:t>
            </w:r>
          </w:p>
          <w:p w:rsidR="00000000" w:rsidDel="00000000" w:rsidP="00000000" w:rsidRDefault="00000000" w:rsidRPr="00000000" w14:paraId="0000009E">
            <w:pPr>
              <w:ind w:left="0" w:hanging="2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Servicios Académicos y educación Continuada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la Calidad</w:t>
            </w:r>
          </w:p>
          <w:p w:rsidR="00000000" w:rsidDel="00000000" w:rsidP="00000000" w:rsidRDefault="00000000" w:rsidRPr="00000000" w14:paraId="000000A0">
            <w:pPr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Líder SIG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Consejo de Rectoría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ind w:left="0" w:hanging="2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de 2021</w:t>
            </w:r>
          </w:p>
        </w:tc>
      </w:tr>
    </w:tbl>
    <w:p w:rsidR="00000000" w:rsidDel="00000000" w:rsidP="00000000" w:rsidRDefault="00000000" w:rsidRPr="00000000" w14:paraId="000000A3">
      <w:pPr>
        <w:spacing w:line="276" w:lineRule="auto"/>
        <w:ind w:left="0" w:hanging="2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ind w:left="0" w:hanging="2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ind w:left="0" w:hanging="2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rtl w:val="0"/>
        </w:rPr>
        <w:t xml:space="preserve">CONTROL DE CAMBIOS</w:t>
      </w:r>
    </w:p>
    <w:p w:rsidR="00000000" w:rsidDel="00000000" w:rsidP="00000000" w:rsidRDefault="00000000" w:rsidRPr="00000000" w14:paraId="000000A6">
      <w:pPr>
        <w:spacing w:line="276" w:lineRule="auto"/>
        <w:ind w:left="0" w:hanging="2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10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5"/>
        <w:gridCol w:w="1605"/>
        <w:gridCol w:w="2250"/>
        <w:gridCol w:w="3780"/>
        <w:tblGridChange w:id="0">
          <w:tblGrid>
            <w:gridCol w:w="2175"/>
            <w:gridCol w:w="1605"/>
            <w:gridCol w:w="2250"/>
            <w:gridCol w:w="37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7">
            <w:pPr>
              <w:tabs>
                <w:tab w:val="left" w:pos="1571"/>
                <w:tab w:val="center" w:pos="2515"/>
              </w:tabs>
              <w:spacing w:line="276" w:lineRule="auto"/>
              <w:ind w:left="0" w:hanging="2"/>
              <w:jc w:val="both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8">
            <w:pPr>
              <w:tabs>
                <w:tab w:val="left" w:pos="1571"/>
                <w:tab w:val="center" w:pos="2515"/>
              </w:tabs>
              <w:spacing w:line="276" w:lineRule="auto"/>
              <w:ind w:left="0" w:hanging="2"/>
              <w:jc w:val="both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9">
            <w:pPr>
              <w:tabs>
                <w:tab w:val="left" w:pos="1571"/>
                <w:tab w:val="center" w:pos="2515"/>
              </w:tabs>
              <w:spacing w:line="276" w:lineRule="auto"/>
              <w:ind w:left="0"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ab/>
              <w:tab/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A">
            <w:pPr>
              <w:spacing w:line="276" w:lineRule="auto"/>
              <w:ind w:left="0"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line="276" w:lineRule="auto"/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Junio 2019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76" w:lineRule="auto"/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76" w:lineRule="auto"/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76" w:lineRule="auto"/>
              <w:ind w:left="0"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line="276" w:lineRule="auto"/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2021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76" w:lineRule="auto"/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76" w:lineRule="auto"/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Título 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76" w:lineRule="auto"/>
              <w:ind w:left="0"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actualiza el título de “PROCEDIMIENTO PARA LA FORMULACIÓN, DISEÑO Y EJECUCIÓN  DE PROGRAMAS DE EDUCACIÓN CONTINUADA VIRTUALES” a “PROCEDIMIENTO PARA EL DISEÑO Y EJECUCIÓN DE PROGRAMAS DE EDUCACIÓN CONTINUADA VIRTUALES”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2021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76" w:lineRule="auto"/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76" w:lineRule="auto"/>
              <w:ind w:left="0"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Actualización de formatos: </w:t>
            </w:r>
          </w:p>
          <w:p w:rsidR="00000000" w:rsidDel="00000000" w:rsidP="00000000" w:rsidRDefault="00000000" w:rsidRPr="00000000" w14:paraId="000000B7">
            <w:pPr>
              <w:spacing w:line="276" w:lineRule="auto"/>
              <w:ind w:left="0"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DOC-F-59 Formato Syllabus para Educación Continuada Nivel Avanzado</w:t>
            </w:r>
          </w:p>
          <w:p w:rsidR="00000000" w:rsidDel="00000000" w:rsidP="00000000" w:rsidRDefault="00000000" w:rsidRPr="00000000" w14:paraId="000000B8">
            <w:pPr>
              <w:spacing w:line="276" w:lineRule="auto"/>
              <w:ind w:left="0"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DOC-F-61 Formato Syllabus para Educación Continuada Para Nivel Básico e Intermedio</w:t>
            </w:r>
          </w:p>
          <w:p w:rsidR="00000000" w:rsidDel="00000000" w:rsidP="00000000" w:rsidRDefault="00000000" w:rsidRPr="00000000" w14:paraId="000000B9">
            <w:pPr>
              <w:spacing w:line="276" w:lineRule="auto"/>
              <w:ind w:left="0"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DOC-F-62 Formato para el Diseño de MOOC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2021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76" w:lineRule="auto"/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76" w:lineRule="auto"/>
              <w:ind w:left="0"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incluye que las propuestas deben estar avaladas por la Vicerrectoría Académica y se incluye como responsable. 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2021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76" w:lineRule="auto"/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76" w:lineRule="auto"/>
              <w:ind w:left="0"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actualiza adicionando el Vo. Bo. del Centro de Enseñanza, Aprendizaje y Evaluación y del diseñador instruccional de la UIEDV  se incluyen como responsables.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2021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76" w:lineRule="auto"/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76" w:lineRule="auto"/>
              <w:ind w:left="0"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actualiza el registro de “Vo. Bo.” a“Correo electrónico/SAIA”. 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2021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76" w:lineRule="auto"/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76" w:lineRule="auto"/>
              <w:ind w:left="0"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elimina la actividad No. 7 “Una vez la Unidad de Marca haya creado los medios infográficos deberá remitirlos a la UIED para finalizar la adecuación del Aula Virtual respectiva.” 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2021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76" w:lineRule="auto"/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modifica el envío de la pieza por parte de Unidad de Marca a la Unidad de Comunicación para divulgación a través de la Intranet y Redes Sociales.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2021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76" w:lineRule="auto"/>
              <w:ind w:left="0"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76" w:lineRule="auto"/>
              <w:ind w:left="0"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adiciona “Una vez asignado el profesor líder, éste verificará que el aula virtual se encuentre lista para darle apertura al componente académico.</w:t>
            </w:r>
          </w:p>
          <w:p w:rsidR="00000000" w:rsidDel="00000000" w:rsidP="00000000" w:rsidRDefault="00000000" w:rsidRPr="00000000" w14:paraId="000000D2">
            <w:pPr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El desarrollo del componente académico se realizará de acuerdo con los lineamientos establecidos en el Sistema Institucional de Educación a Distancia y Virtual.”</w:t>
            </w:r>
          </w:p>
        </w:tc>
      </w:tr>
    </w:tbl>
    <w:p w:rsidR="00000000" w:rsidDel="00000000" w:rsidP="00000000" w:rsidRDefault="00000000" w:rsidRPr="00000000" w14:paraId="000000D4">
      <w:pPr>
        <w:ind w:left="0" w:hanging="2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2" w:w="12242" w:orient="portrait"/>
      <w:pgMar w:bottom="1701" w:top="2268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  <w:font w:name="Georgia"/>
  <w:font w:name="Courier New"/>
  <w:font w:name="Calibri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Century Gothic" w:cs="Century Gothic" w:eastAsia="Century Gothic" w:hAnsi="Century Gothic"/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7"/>
      <w:tblW w:w="10058.0" w:type="dxa"/>
      <w:jc w:val="left"/>
      <w:tblInd w:w="-134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730"/>
      <w:gridCol w:w="4635"/>
      <w:gridCol w:w="1134"/>
      <w:gridCol w:w="1559"/>
      <w:tblGridChange w:id="0">
        <w:tblGrid>
          <w:gridCol w:w="2730"/>
          <w:gridCol w:w="4635"/>
          <w:gridCol w:w="1134"/>
          <w:gridCol w:w="1559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D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</w:rPr>
            <w:drawing>
              <wp:inline distB="0" distT="0" distL="114300" distR="114300">
                <wp:extent cx="1342390" cy="751840"/>
                <wp:effectExtent b="0" l="0" r="0" t="0"/>
                <wp:docPr descr="D:\nuevo\Downloads\logo_color (1).jpg" id="1027" name="image1.jpg"/>
                <a:graphic>
                  <a:graphicData uri="http://schemas.openxmlformats.org/drawingml/2006/picture">
                    <pic:pic>
                      <pic:nvPicPr>
                        <pic:cNvPr descr="D:\nuevo\Downloads\logo_color (1)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390" cy="7518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D7">
          <w:pPr>
            <w:ind w:left="0" w:hanging="2"/>
            <w:jc w:val="center"/>
            <w:rPr>
              <w:rFonts w:ascii="Century Gothic" w:cs="Century Gothic" w:eastAsia="Century Gothic" w:hAnsi="Century Gothic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0"/>
              <w:szCs w:val="20"/>
              <w:rtl w:val="0"/>
            </w:rPr>
            <w:t xml:space="preserve">PROCESO DOCENCIA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0"/>
              <w:szCs w:val="20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D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0"/>
              <w:szCs w:val="20"/>
              <w:rtl w:val="0"/>
            </w:rPr>
            <w:t xml:space="preserve">DOC-P-25</w:t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D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D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0"/>
              <w:szCs w:val="20"/>
              <w:rtl w:val="0"/>
            </w:rPr>
            <w:t xml:space="preserve">PROCEDIMIENTO PARA</w:t>
          </w:r>
          <w:r w:rsidDel="00000000" w:rsidR="00000000" w:rsidRPr="00000000">
            <w:rPr>
              <w:rFonts w:ascii="Century Gothic" w:cs="Century Gothic" w:eastAsia="Century Gothic" w:hAnsi="Century Gothic"/>
              <w:sz w:val="20"/>
              <w:szCs w:val="20"/>
              <w:rtl w:val="0"/>
            </w:rPr>
            <w:t xml:space="preserve"> EL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0"/>
              <w:szCs w:val="20"/>
              <w:rtl w:val="0"/>
            </w:rPr>
            <w:t xml:space="preserve"> DISEÑO Y EJECUCIÓN DE PROGRAMAS DE EDUCACIÓN CONTINUADA VIRTUALES</w:t>
          </w:r>
        </w:p>
      </w:tc>
      <w:tc>
        <w:tcPr>
          <w:vAlign w:val="center"/>
        </w:tcPr>
        <w:p w:rsidR="00000000" w:rsidDel="00000000" w:rsidP="00000000" w:rsidRDefault="00000000" w:rsidRPr="00000000" w14:paraId="000000D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0"/>
              <w:szCs w:val="20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D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0"/>
              <w:szCs w:val="20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31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D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D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E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0"/>
              <w:szCs w:val="20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E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0"/>
              <w:szCs w:val="20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•"/>
      <w:lvlJc w:val="left"/>
      <w:pPr>
        <w:ind w:left="360" w:hanging="360"/>
      </w:pPr>
      <w:rPr>
        <w:rFonts w:ascii="Calibri" w:cs="Calibri" w:eastAsia="Calibri" w:hAnsi="Calibri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357" w:hanging="357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numPr>
        <w:numId w:val="5"/>
      </w:numPr>
      <w:ind w:left="357" w:hanging="357"/>
    </w:pPr>
    <w:rPr>
      <w:rFonts w:ascii="Arial" w:hAnsi="Arial"/>
      <w:b w:val="1"/>
      <w:lang w:val="es-CO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val="es-CO"/>
    </w:rPr>
  </w:style>
  <w:style w:type="paragraph" w:styleId="Textonotapie">
    <w:name w:val="footnote text"/>
    <w:basedOn w:val="Normal"/>
    <w:rPr>
      <w:sz w:val="20"/>
    </w:rPr>
  </w:style>
  <w:style w:type="character" w:styleId="TextonotapieCar" w:customStyle="1">
    <w:name w:val="Texto nota pie Car"/>
    <w:rPr>
      <w:rFonts w:ascii="Verdana" w:hAnsi="Verdana"/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cabezadoCar" w:customStyle="1">
    <w:name w:val="Encabezado Car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eastAsia="es-ES" w:val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</w:rPr>
  </w:style>
  <w:style w:type="character" w:styleId="TextocomentarioCar" w:customStyle="1">
    <w:name w:val="Texto comentario Car"/>
    <w:rPr>
      <w:rFonts w:ascii="Verdana" w:hAnsi="Verdana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nnotation subject"/>
    <w:basedOn w:val="Textocomentario"/>
    <w:next w:val="Textocomentario"/>
    <w:rPr>
      <w:b w:val="1"/>
      <w:bCs w:val="1"/>
    </w:rPr>
  </w:style>
  <w:style w:type="character" w:styleId="AsuntodelcomentarioCar" w:customStyle="1">
    <w:name w:val="Asunto del comentario Car"/>
    <w:rPr>
      <w:rFonts w:ascii="Verdana" w:hAnsi="Verdana"/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A4" w:customStyle="1">
    <w:name w:val="A4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+ddYZrTCiVMpFwwfZiXeSc1V9g==">AMUW2mUZAAdzlLQXc8TWgrKyzEJfkuYfvzXTduQ5iUDrUQcAocRGPhPHCsvdOmBcKvIRQBK/pAwmEhonSnA1rGRRxv5JdN0EhzAWvnnqST8flWGMmv+Hhorh+wwpzlb95epcIRtTfy78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2022-07-05T16:35:00Z</dcterms:created>
  <dc:creator>AsesorCiedu</dc:creator>
</cp:coreProperties>
</file>