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8505"/>
        <w:tblGridChange w:id="0">
          <w:tblGrid>
            <w:gridCol w:w="1560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Establecer lineamientos institucionales para la formulación y diseño de programas de Educación Continuada Virtuales (diplomado, curso, MOOC) con su respectivo presupuesto y aprobación por parte de las instancias académicas y administrativas competentes.</w:t>
            </w:r>
          </w:p>
        </w:tc>
      </w:tr>
    </w:tbl>
    <w:p w:rsidR="00000000" w:rsidDel="00000000" w:rsidP="00000000" w:rsidRDefault="00000000" w:rsidRPr="00000000" w14:paraId="00000004">
      <w:pPr>
        <w:ind w:left="0" w:hanging="2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8505"/>
        <w:tblGridChange w:id="0">
          <w:tblGrid>
            <w:gridCol w:w="1560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Educación continuada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: Desde la identificación de la oportunidad de formular una propuesta de educación continuada hasta la certificación.</w:t>
            </w:r>
          </w:p>
        </w:tc>
      </w:tr>
    </w:tbl>
    <w:p w:rsidR="00000000" w:rsidDel="00000000" w:rsidP="00000000" w:rsidRDefault="00000000" w:rsidRPr="00000000" w14:paraId="00000007">
      <w:pPr>
        <w:ind w:left="0" w:hanging="2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7"/>
        <w:gridCol w:w="8268"/>
        <w:tblGridChange w:id="0">
          <w:tblGrid>
            <w:gridCol w:w="1797"/>
            <w:gridCol w:w="8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0" w:hanging="2"/>
              <w:jc w:val="both"/>
              <w:rPr>
                <w:color w:val="3b3838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Diplomado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: Son cursos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máximo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horas (3 créditos académicos) y mínimo de 120 horas, que conducen a una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certificación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. Tiene como propósito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ofrecer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una formación especializada o actualización en un tema de una determinada área del conocimiento, buscando mejorar éste o perfeccionar las habilidades y destrezas de los participantes. Está organizado por unidades o módulos, que pueden variar entre 3 y 6. Su duración dependerá del área de estudio, los contenidos, el nivel de profundidad, la metodología y los propósitos de formación.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: Es el estudio o análisis de un tema concreto, de forma estructurada, que pretende la apropiación de conocimientos o fortalecimiento de habilidades muy específicas en un periodo de tiempo que puede variar en función del nivel de profundidad de la temática, su complejidad y extensión conceptual. Se certifica la asistencia y aprobación.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Mooc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: (Massive Open Online Courses), son un tipo especial de cursos de formación virtual con propuestas orientadas a la difusión web de contenidos y un plan de actividades de aprendizaje abierto a la colaboración y la participación masiva.</w:t>
            </w:r>
          </w:p>
        </w:tc>
      </w:tr>
    </w:tbl>
    <w:p w:rsidR="00000000" w:rsidDel="00000000" w:rsidP="00000000" w:rsidRDefault="00000000" w:rsidRPr="00000000" w14:paraId="0000000C">
      <w:pPr>
        <w:ind w:left="0" w:hanging="2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0.0" w:type="dxa"/>
        <w:jc w:val="left"/>
        <w:tblInd w:w="-1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5"/>
        <w:gridCol w:w="4395"/>
        <w:gridCol w:w="2490"/>
        <w:gridCol w:w="2325"/>
        <w:tblGridChange w:id="0">
          <w:tblGrid>
            <w:gridCol w:w="375"/>
            <w:gridCol w:w="525"/>
            <w:gridCol w:w="4395"/>
            <w:gridCol w:w="2490"/>
            <w:gridCol w:w="232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PROCEDIMIENTO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ACTIVIDAD / DESCRIPCIÓN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Para iniciar la formulación de propuestas de educación continuada virtuales es importante tener en cuenta: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Lineamientos del Proyecto Educativo Universitario, políticas institucionales,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Plataforma Estratégica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Sistema Institucional de Educación a Distancia y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Viabilidad jurídica y financiera: Pertinencia legal y presupuestal de la propuesta.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Legislación vigente, políticas públicas y planes de desarrollo locales, regionales, nacionales y planes sectoriales.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Decanos(a) de Facultad, directores de Programa y grupos de investigación.</w:t>
            </w:r>
          </w:p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Formato de Información General</w:t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Las unidades generadoras enviarán a la Unidad de Servicios Académicos el Formato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F-59 o F-61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para cursos y diplomados virtuales o el formato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F62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para MOOC, diligenciado.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Decanos(a) de Facultad, directores de Programa y grupos de investigación.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Formato de Información General / Carta de Solicitud / Correo electrónico/SAIA.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Acta de Consejo de Facultad, Acta de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Consejo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de Rectoría.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Las propuestas de educación continuada virtuales, antes de ser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apoyadas,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tanto por la Unidad de Servicios Académicos como la UIEDV,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deberán estar avaladas por la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Vicerrectoría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ad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ém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ica y tener su respectivo presupuesto realizado, verificado y aprobado por el Líder de Presupuesto, la Dirección Administrativa y Financiera y la Vicerrectoría Administrativa y Financiera, respectivamente.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Líder de Presupuestos</w:t>
            </w:r>
          </w:p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Dirección Administrativa y Financiera</w:t>
            </w:r>
          </w:p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Vicerrectoría Administrativa y Financiera</w:t>
            </w:r>
          </w:p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Vicerrectoría Académica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Formato de presupuesto</w:t>
            </w:r>
          </w:p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Remisión de los formatos de estructuración del programa de educación continuada por parte del proponente a la Asesora Pedagógica para su respectiva validación.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Decanos(a) de Facultad, directores de Programa y grupos de investigación.</w:t>
            </w:r>
          </w:p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Formato de Syllabus,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Mediador pedagógico</w:t>
            </w:r>
          </w:p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Una vez tenga el visto bueno del asesor pedagógico del Centro de Enseñanza, Aprendizaje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y Evaluación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y del diseñador instruccional de la UIEDV, el Syllabus pasa al Centro Editorial para la respectiva corrección de estilo y gramática 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posteriormente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a la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UIEDV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para iniciar el proceso de creación y/o actualización de medios didácticos y adecuación del Aula Virtual.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Decanos(a) de Facultad, directores de Programa y grupos de investigación.</w:t>
            </w:r>
          </w:p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Centro de Enseñanza, Aprendizaje y Evaluación</w:t>
            </w:r>
          </w:p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Centro Editorial</w:t>
            </w:r>
          </w:p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Correo electrónico/SAIA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Se solicita a la Unidad de Marca, por parte de la Unidad de Servicios Académicos y Educación Continuada, el diseño de la pieza publicitaria que corresponda a la oferta de educación continuada. </w:t>
            </w:r>
          </w:p>
          <w:p w:rsidR="00000000" w:rsidDel="00000000" w:rsidP="00000000" w:rsidRDefault="00000000" w:rsidRPr="00000000" w14:paraId="00000051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Una vez se tenga el visto bueno del Centro Editorial la UIEDV deberá adecuar el contenido creando los medios infográficos y didácticos respectivos: Videos, animaciones, infografías,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Servimercadeo </w:t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Pieza publicitaria terminada enviada por correo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Se envía a la Unidad de Comunicaciones la pieza publicitaria correspondiente a la oferta de educación continuada virtual para su difusión a través de la intranet y las redes sociales de la Universidad, una vez el aula virtual este diseñada y validada por el proponente.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Comunicaciones</w:t>
            </w:r>
          </w:p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Graduados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Piezas terminadas enviadas por correo, intranet y redes sociales.</w:t>
            </w:r>
          </w:p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Oferta y comercialización de las propuestas presentadas al sector externo.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Decanos (as) de las facultades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Formato Cumplido de Comisión y/o correo electrónico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Para educación continuada, el responsable de la unidad generadora de la propuesta debe ejecutar en articulación con la coordinación de la Unidad de Servicios Académicos y Educación Continuada, la elaboración de las rutas de contratación, reserva de auditorios o aulas (cuando se requiera), seguimiento a la asistencia de los participantes (estadísticas de plataforma) y evaluación del proceso formativo.</w:t>
            </w:r>
          </w:p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Una vez asignado el profesor líder, éste verificará que el aula virtual se encuentre lista para darle apertura al componente académico.</w:t>
            </w:r>
          </w:p>
          <w:p w:rsidR="00000000" w:rsidDel="00000000" w:rsidP="00000000" w:rsidRDefault="00000000" w:rsidRPr="00000000" w14:paraId="0000006D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El desarrollo del componente académico se realizará de acuerdo con los lineamientos establecidos en el Sistema Institucional de Educación a Distancia y Virtual.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Líder de la propuesta</w:t>
            </w:r>
          </w:p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Contratación</w:t>
            </w:r>
          </w:p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Hoja de ruta de contratación</w:t>
            </w:r>
          </w:p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Control de asistencia.</w:t>
            </w:r>
          </w:p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Evaluación del proceso formativo.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H/V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Para la certificación de la propuesta formativa de educación continuada virtual, la Unidad de Servicios Académicos y Educación Continuada procede a efectuar la revisión de asistencia (estadísticas de plataforma) y cumplimiento para tramitar la certificación así: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Cuando la certificación es digital, se solicita el diseño del certificado a la Unidad de Marca.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Una vez entregado el diseño, con éste se envían los datos del evento y la lista de los participantes a certificar a la Unidad de Sistemas de Información, quienes en comunicación estricta con el sistema académico SIGA actualizarán la información a la página web UCM. Cada participante si cumplió previamente con todos los requisitos, podrá descargar su certificado ingresando con el número del documento de identidad.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Cuando la certificación es física, se solicita el diseño del certificado a la Unidad de Marca, se envían los datos del evento y la lista de los participantes para que sean impresos.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Recibido de la Unidad de Marca los certificados físicos, los cuales ya traen las firmas respectivas de Secretaria General y Rectoría.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Firmados los certificados, la Unidad de Servicios Académicos se encarga de la entrega de los certificados a los participantes.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Líder de la propuesta</w:t>
            </w:r>
          </w:p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Servicios Académicos y Educación Continuada</w:t>
            </w:r>
          </w:p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Mercadeo y Comunicaciones</w:t>
            </w:r>
          </w:p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Líder de Presupuestos</w:t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Unidad de Sistemas de Información</w:t>
            </w:r>
          </w:p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Certificado o Constancias de Asistencia.</w:t>
            </w:r>
          </w:p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left="0" w:hanging="2"/>
        <w:jc w:val="both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jc w:val="both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ind w:left="0"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1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2970"/>
        <w:gridCol w:w="2400"/>
        <w:gridCol w:w="1981"/>
        <w:tblGridChange w:id="0">
          <w:tblGrid>
            <w:gridCol w:w="2460"/>
            <w:gridCol w:w="2970"/>
            <w:gridCol w:w="2400"/>
            <w:gridCol w:w="19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9E">
            <w:pPr>
              <w:ind w:left="0" w:hanging="2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Servicios Académicos y educación Continuada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A3">
      <w:pPr>
        <w:spacing w:line="276" w:lineRule="auto"/>
        <w:ind w:left="0"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ind w:left="0"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left="0" w:hanging="2"/>
        <w:jc w:val="both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CONTROL DE CAMBIOS</w:t>
      </w:r>
    </w:p>
    <w:p w:rsidR="00000000" w:rsidDel="00000000" w:rsidP="00000000" w:rsidRDefault="00000000" w:rsidRPr="00000000" w14:paraId="000000A6">
      <w:pPr>
        <w:spacing w:line="276" w:lineRule="auto"/>
        <w:ind w:left="0" w:hanging="2"/>
        <w:jc w:val="both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tabs>
                <w:tab w:val="left" w:pos="1571"/>
                <w:tab w:val="center" w:pos="2515"/>
              </w:tabs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tabs>
                <w:tab w:val="left" w:pos="1571"/>
                <w:tab w:val="center" w:pos="2515"/>
              </w:tabs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tabs>
                <w:tab w:val="left" w:pos="1571"/>
                <w:tab w:val="center" w:pos="2515"/>
              </w:tabs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Junio 2019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Título 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el título de “PROCEDIMIENTO PARA LA FORMULACIÓN, DISEÑO Y EJECUCIÓN  DE PROGRAMAS DE EDUCACIÓN CONTINUADA VIRTUALES” a “PROCEDIMIENTO PARA EL DISEÑO Y EJECUCIÓN DE PROGRAMAS DE EDUCACIÓN CONTINUADA VIRTUALES”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Actualización de formatos: 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DOC-F-59 Formato Syllabus para Educación Continuada Nivel Avanzado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DOC-F-61 Formato Syllabus para Educación Continuada Para Nivel Básico e Intermedio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DOC-F-62 Formato para el Diseño de MOOC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incluye que las propuestas deben estar avaladas por la Vicerrectoría Académica y se incluye como responsable. 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adicionando el Vo. Bo. del Centro de Enseñanza, Aprendizaje y Evaluación y del diseñador instruccional de la UIEDV  se incluyen como responsables.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actualiza el registro de “Vo. Bo.” a“Correo electrónico/SAIA”. 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elimina la actividad No. 7 “Una vez la Unidad de Marca haya creado los medios infográficos deberá remitirlos a la UIED para finalizar la adecuación del Aula Virtual respectiva.” 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modifica el envío de la pieza por parte de Unidad de Marca a la Unidad de Comunicación para divulgación a través de la Intranet y Redes Sociales.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2021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ind w:left="0"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ind w:left="0"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adiciona “Una vez asignado el profesor líder, éste verificará que el aula virtual se encuentre lista para darle apertura al componente académico.</w:t>
            </w:r>
          </w:p>
          <w:p w:rsidR="00000000" w:rsidDel="00000000" w:rsidP="00000000" w:rsidRDefault="00000000" w:rsidRPr="00000000" w14:paraId="000000D2">
            <w:pPr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El desarrollo del componente académico se realizará de acuerdo con los lineamientos establecidos en el Sistema Institucional de Educación a Distancia y Virtual.”</w:t>
            </w:r>
          </w:p>
        </w:tc>
      </w:tr>
    </w:tbl>
    <w:p w:rsidR="00000000" w:rsidDel="00000000" w:rsidP="00000000" w:rsidRDefault="00000000" w:rsidRPr="00000000" w14:paraId="000000D4">
      <w:pPr>
        <w:ind w:left="0" w:hanging="2"/>
        <w:jc w:val="both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Courier New"/>
  <w:font w:name="Calibri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Century Gothic" w:cs="Century Gothic" w:eastAsia="Century Gothic" w:hAnsi="Century Gothic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0058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30"/>
      <w:gridCol w:w="4635"/>
      <w:gridCol w:w="1134"/>
      <w:gridCol w:w="1559"/>
      <w:tblGridChange w:id="0">
        <w:tblGrid>
          <w:gridCol w:w="2730"/>
          <w:gridCol w:w="4635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D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114300" distR="114300">
                <wp:extent cx="1342390" cy="751840"/>
                <wp:effectExtent b="0" l="0" r="0" t="0"/>
                <wp:docPr descr="D:\nuevo\Downloads\logo_color (1).jpg" id="1027" name="image1.jpg"/>
                <a:graphic>
                  <a:graphicData uri="http://schemas.openxmlformats.org/drawingml/2006/picture">
                    <pic:pic>
                      <pic:nvPicPr>
                        <pic:cNvPr descr="D:\nuevo\Downloads\logo_color (1)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90" cy="7518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D7">
          <w:pPr>
            <w:ind w:left="0" w:hanging="2"/>
            <w:jc w:val="center"/>
            <w:rPr>
              <w:rFonts w:ascii="Century Gothic" w:cs="Century Gothic" w:eastAsia="Century Gothic" w:hAnsi="Century Gothic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sz w:val="20"/>
              <w:szCs w:val="20"/>
              <w:rtl w:val="0"/>
            </w:rPr>
            <w:t xml:space="preserve">PROCESO DOCENCIA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D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DOC-P-25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D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D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PROCEDIMIENTO PARA</w:t>
          </w: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 EL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 DISEÑO Y EJECUCIÓN DE PROGRAMAS DE EDUCACIÓN CONTINUADA VIRTUALES</w:t>
          </w:r>
        </w:p>
      </w:tc>
      <w:tc>
        <w:tcPr>
          <w:vAlign w:val="center"/>
        </w:tcPr>
        <w:p w:rsidR="00000000" w:rsidDel="00000000" w:rsidP="00000000" w:rsidRDefault="00000000" w:rsidRPr="00000000" w14:paraId="000000D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D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D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E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57" w:hanging="357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5"/>
      </w:numPr>
      <w:ind w:left="357" w:hanging="357"/>
    </w:pPr>
    <w:rPr>
      <w:rFonts w:ascii="Arial" w:hAnsi="Arial"/>
      <w:b w:val="1"/>
      <w:lang w:val="es-CO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footnote text"/>
    <w:basedOn w:val="Normal"/>
    <w:rPr>
      <w:sz w:val="20"/>
    </w:rPr>
  </w:style>
  <w:style w:type="character" w:styleId="TextonotapieCar" w:customStyle="1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cabezadoCar" w:customStyle="1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styleId="TextocomentarioCar" w:customStyle="1">
    <w:name w:val="Texto comentario Car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A4" w:customStyle="1">
    <w:name w:val="A4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+ddYZrTCiVMpFwwfZiXeSc1V9g==">AMUW2mUZAAdzlLQXc8TWgrKyzEJfkuYfvzXTduQ5iUDrUQcAocRGPhPHCsvdOmBcKvIRQBK/pAwmEhonSnA1rGRRxv5JdN0EhzAWvnnqST8flWGMmv+Hhorh+wwpzlb95epcIRtTfy78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2022-07-05T16:35:00Z</dcterms:created>
  <dc:creator>AsesorCiedu</dc:creator>
</cp:coreProperties>
</file>