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74.0" w:type="dxa"/>
        <w:jc w:val="left"/>
        <w:tblInd w:w="-577.0" w:type="dxa"/>
        <w:tblLayout w:type="fixed"/>
        <w:tblLook w:val="0400"/>
      </w:tblPr>
      <w:tblGrid>
        <w:gridCol w:w="2527"/>
        <w:gridCol w:w="825"/>
        <w:gridCol w:w="5025"/>
        <w:gridCol w:w="1697"/>
        <w:tblGridChange w:id="0">
          <w:tblGrid>
            <w:gridCol w:w="2527"/>
            <w:gridCol w:w="825"/>
            <w:gridCol w:w="5025"/>
            <w:gridCol w:w="1697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pos="450"/>
              </w:tabs>
              <w:spacing w:after="0" w:line="240" w:lineRule="auto"/>
              <w:ind w:left="37" w:firstLine="0"/>
              <w:rPr>
                <w:rFonts w:ascii="Century Gothic" w:cs="Century Gothic" w:eastAsia="Century Gothic" w:hAnsi="Century Gothic"/>
                <w:b w:val="1"/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tabs>
                <w:tab w:val="left" w:pos="450"/>
              </w:tabs>
              <w:spacing w:after="0" w:line="240" w:lineRule="auto"/>
              <w:ind w:left="37" w:firstLine="0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02124"/>
                <w:rtl w:val="0"/>
              </w:rPr>
              <w:t xml:space="preserve">Objetivo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:  Identificar el cumplimiento de los factores de Calidad de las aulas virtuales.</w:t>
            </w:r>
          </w:p>
          <w:p w:rsidR="00000000" w:rsidDel="00000000" w:rsidP="00000000" w:rsidRDefault="00000000" w:rsidRPr="00000000" w14:paraId="00000004">
            <w:pPr>
              <w:tabs>
                <w:tab w:val="left" w:pos="450"/>
              </w:tabs>
              <w:spacing w:after="0" w:line="240" w:lineRule="auto"/>
              <w:ind w:left="37" w:firstLine="0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left" w:pos="450"/>
              </w:tabs>
              <w:spacing w:after="0" w:line="240" w:lineRule="auto"/>
              <w:ind w:left="37" w:firstLine="0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02124"/>
                <w:rtl w:val="0"/>
              </w:rPr>
              <w:t xml:space="preserve">Medición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: El puntaje máximo posible es de 50 Puntos (25 criterios con una calificación máxima de 2 puntos para cada uno), el Check List valora criterios de calidad respecto a la estructura y diseño de las aulas virtuales, teniendo en cuenta su cumplimiento de acuerdo a la siguiente escala de puntos: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ind w:left="37" w:firstLine="0"/>
              <w:jc w:val="both"/>
              <w:rPr>
                <w:rFonts w:ascii="Century Gothic" w:cs="Century Gothic" w:eastAsia="Century Gothic" w:hAnsi="Century Gothic"/>
                <w:b w:val="1"/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ind w:left="37" w:firstLine="0"/>
              <w:jc w:val="both"/>
              <w:rPr>
                <w:rFonts w:ascii="Century Gothic" w:cs="Century Gothic" w:eastAsia="Century Gothic" w:hAnsi="Century Gothic"/>
                <w:b w:val="1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02124"/>
                <w:rtl w:val="0"/>
              </w:rPr>
              <w:t xml:space="preserve">0 No se cumple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ind w:left="37" w:firstLine="0"/>
              <w:jc w:val="both"/>
              <w:rPr>
                <w:rFonts w:ascii="Century Gothic" w:cs="Century Gothic" w:eastAsia="Century Gothic" w:hAnsi="Century Gothic"/>
                <w:b w:val="1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02124"/>
                <w:rtl w:val="0"/>
              </w:rPr>
              <w:t xml:space="preserve">1 Se Cumple, pero requiere procesos de mejora</w:t>
            </w:r>
          </w:p>
          <w:p w:rsidR="00000000" w:rsidDel="00000000" w:rsidP="00000000" w:rsidRDefault="00000000" w:rsidRPr="00000000" w14:paraId="00000009">
            <w:pPr>
              <w:tabs>
                <w:tab w:val="left" w:pos="450"/>
              </w:tabs>
              <w:spacing w:after="0" w:line="240" w:lineRule="auto"/>
              <w:ind w:left="37" w:firstLine="0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02124"/>
                <w:rtl w:val="0"/>
              </w:rPr>
              <w:t xml:space="preserve"> 2 Se Cumple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pos="450"/>
              </w:tabs>
              <w:spacing w:after="0" w:line="240" w:lineRule="auto"/>
              <w:ind w:left="37" w:firstLine="0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pos="450"/>
              </w:tabs>
              <w:spacing w:after="0" w:line="240" w:lineRule="auto"/>
              <w:ind w:left="37" w:firstLine="0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Este instrumento se aplica una vez es creada el aula virtual en la plataforma LMS y es diligenciado por el diseñador instruccional designado de la UIEDV.</w:t>
            </w:r>
          </w:p>
          <w:p w:rsidR="00000000" w:rsidDel="00000000" w:rsidP="00000000" w:rsidRDefault="00000000" w:rsidRPr="00000000" w14:paraId="0000000C">
            <w:pPr>
              <w:tabs>
                <w:tab w:val="left" w:pos="450"/>
              </w:tabs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La Arquitectura del Aula Virtual se da por aprobada cuando la calificación obtenida es de mínimo el 80% del puntaje máximo. De lo contrario será objeto de revisión por parte del personal de la UIEDV asignado para la creación del aula virtual.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Norma/ Factor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Ítem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Criterio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Puntaje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QM - DESCRIPCIÓN DEL COMPONENTE ACADÉMICO E INTRODUCCIÓN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8f9fa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El aula virtual brinda instrucciones claras para el desarrollo del componente académico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8f9fa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Se presenta a los estudiantes el propósito y la estructura del componente académico (OMA)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8f9fa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El aula virtual dispone de mecanismos para medir el nivel de progreso de los estudiantes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8f9fa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Se disponen espacios de comunicación para asesorías, discusiones en línea, mensajería y otras formas de interacción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8f9fa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Se brindan a los estudiantes recomendaciones para el desarrollo del componente académico así como acceso al reglamento académico, estatuto de propiedad intelectual, lineamientos para el manejo del correo electrónico y otros documentos de carácter normativo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8f9fa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Se precisan con claridad los requerimientos tecnológicos mínimos para el desarrollo del componente académico y se brinda información sobre  cómo acceder al aula virtual desde diversos tipos de dispositivos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8f9fa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Los conocimientos y  habilidades informáticas que se esperan del estudiante están claramente descritas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8f9fa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Se precisan con claridad los prerrequisitos o conocimientos previos del componente académico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8f9fa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Se dispone de información del profesor tutor: perfil, experiencia, redes sociales, email, publicaciones, etc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8f9fa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Se dispone de espacios virtuales para que los estudiantes se presenten y manifiesten sus intereses y expectativas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QM. Materiales Didácticos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4.1, 4.2 4.4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8f9fa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Los materiales didácticos contribuyen al logro de los resultados de aprendizaje tanto teóricos como prácticos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8f9fa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4.3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8f9fa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El componente académico brinda los recursos,  referencias y fuentes bibliográficas adecuadas y éstos cuentan con los permisos y/o licencias de uso respectivas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8f9fa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4.5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8f9fa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Se utiliza una variedad de materiales didácticos en el componente académico (audio, video, infografía)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8f9fa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Los videos, audios e infografías empleados cuentan con el respectivo licenciamiento de uso como recurso educativo abierto.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QM. Actividades de aprendizaje e interacción estudiantil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5.3,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5.4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5.4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8f9fa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Los mecanismos o estrategias y requisitos de interacción con los estudiantes están claramente definidos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8f9fa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Herramientas tecnológicas empleadas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6.1,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6.3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8f9fa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Las herramientas tecnológicas dispuestas en el aula virtual del componente académico son adecuadas y suficientes para permitir al estudiante alcanzar los resultados de aprendizaje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6.2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8f9fa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Las herramientas tecnológicas dispuestas en el aula virtual del componente académico permiten la participación estudiantil y apoyan el desarrollo de actividades individuales y colaborativas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8f9fa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6.4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8f9fa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El aula virtual del componente académico provee información a los estudiantes respecto a la protección de sus datos y privacidad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Apoyo estudiantil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7.1,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7-3,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7.4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8f9fa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El aula virtual del componente académico ofrece canales de atención y apoyo a los estudiantes mediante enlace web para contribuir en el alcance de los resultados de aprendizaje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7.2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8f9fa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El aula virtual del componente académico le ofrece a los estudiantes opciones de acceso a los servicios de la institución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454545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54545"/>
                <w:rtl w:val="0"/>
              </w:rPr>
              <w:t xml:space="preserve">Accesibilidad y facilidad de uso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8.1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8f9fa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La navegación en el aula virtual del componente académico facilita su uso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8.2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8f9fa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El diseño del aula virtual del componente académico facilita su legibilidad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8.3,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8.4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8f9fa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El aula virtual del componente académico proporciona textos, imágenes y contenido multimedia accesibles en archivos, documentos, páginas web para satisfacer las necesidades de los estudiantes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8f9fa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8.5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8f9fa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Los recursos multimediales en el aula virtual del componente académico facilitan su desarrollo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bb59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bb59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8.6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8f9fa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entury Gothic" w:cs="Century Gothic" w:eastAsia="Century Gothic" w:hAnsi="Century Gothic"/>
                <w:color w:val="2021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02124"/>
                <w:rtl w:val="0"/>
              </w:rPr>
              <w:t xml:space="preserve">Los recursos tecnológicos y didácticos dispuestos en el aula virtual del componente académico facilitan la accesibilidad e inclusión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9D">
      <w:pPr>
        <w:spacing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99.0" w:type="dxa"/>
        <w:jc w:val="left"/>
        <w:tblInd w:w="-4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3523"/>
        <w:gridCol w:w="2168"/>
        <w:gridCol w:w="1981"/>
        <w:tblGridChange w:id="0">
          <w:tblGrid>
            <w:gridCol w:w="2127"/>
            <w:gridCol w:w="3523"/>
            <w:gridCol w:w="2168"/>
            <w:gridCol w:w="198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Elaboró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Revisó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0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Aprobó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7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UIEDV</w:t>
            </w:r>
          </w:p>
          <w:p w:rsidR="00000000" w:rsidDel="00000000" w:rsidP="00000000" w:rsidRDefault="00000000" w:rsidRPr="00000000" w14:paraId="000000A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Dirección de Aseguramiento de la Calidad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Consejo de Rectoría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Diciembre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de 2021</w:t>
            </w:r>
          </w:p>
        </w:tc>
      </w:tr>
    </w:tbl>
    <w:p w:rsidR="00000000" w:rsidDel="00000000" w:rsidP="00000000" w:rsidRDefault="00000000" w:rsidRPr="00000000" w14:paraId="000000A7">
      <w:pPr>
        <w:spacing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CONTROL DE CAMBIOS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76" w:lineRule="auto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76" w:lineRule="auto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76" w:lineRule="auto"/>
        <w:ind w:hanging="2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5"/>
        <w:gridCol w:w="1605"/>
        <w:gridCol w:w="2250"/>
        <w:gridCol w:w="3780"/>
        <w:tblGridChange w:id="0">
          <w:tblGrid>
            <w:gridCol w:w="2175"/>
            <w:gridCol w:w="1605"/>
            <w:gridCol w:w="2250"/>
            <w:gridCol w:w="378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C">
            <w:pPr>
              <w:tabs>
                <w:tab w:val="left" w:pos="1571"/>
                <w:tab w:val="center" w:pos="2515"/>
              </w:tabs>
              <w:spacing w:after="0" w:line="276" w:lineRule="auto"/>
              <w:ind w:hanging="2"/>
              <w:jc w:val="both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D">
            <w:pPr>
              <w:tabs>
                <w:tab w:val="left" w:pos="1571"/>
                <w:tab w:val="center" w:pos="2515"/>
              </w:tabs>
              <w:spacing w:after="0" w:line="276" w:lineRule="auto"/>
              <w:ind w:hanging="2"/>
              <w:jc w:val="both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VERSIÓN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E">
            <w:pPr>
              <w:tabs>
                <w:tab w:val="left" w:pos="1571"/>
                <w:tab w:val="center" w:pos="2515"/>
              </w:tabs>
              <w:spacing w:after="0" w:line="276" w:lineRule="auto"/>
              <w:ind w:hanging="2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ab/>
              <w:tab/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F">
            <w:pPr>
              <w:spacing w:after="0" w:line="276" w:lineRule="auto"/>
              <w:ind w:hanging="2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MODIFICACIÓN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after="0" w:line="276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Diciembre del 2021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line="276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="276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Todo el documento.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="276" w:lineRule="auto"/>
              <w:ind w:hanging="2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Creación del documento</w:t>
            </w:r>
          </w:p>
        </w:tc>
      </w:tr>
    </w:tbl>
    <w:p w:rsidR="00000000" w:rsidDel="00000000" w:rsidP="00000000" w:rsidRDefault="00000000" w:rsidRPr="00000000" w14:paraId="000000B4">
      <w:pPr>
        <w:spacing w:after="0"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4"/>
      <w:tblW w:w="10058.0" w:type="dxa"/>
      <w:jc w:val="left"/>
      <w:tblInd w:w="-551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685"/>
      <w:gridCol w:w="4680"/>
      <w:gridCol w:w="1134"/>
      <w:gridCol w:w="1559"/>
      <w:tblGridChange w:id="0">
        <w:tblGrid>
          <w:gridCol w:w="2685"/>
          <w:gridCol w:w="4680"/>
          <w:gridCol w:w="1134"/>
          <w:gridCol w:w="1559"/>
        </w:tblGrid>
      </w:tblGridChange>
    </w:tblGrid>
    <w:tr>
      <w:trPr>
        <w:cantSplit w:val="0"/>
        <w:trHeight w:val="42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B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1343025" cy="752475"/>
                <wp:effectExtent b="0" l="0" r="0" t="0"/>
                <wp:docPr descr="D:\nuevo\Downloads\logo_color (1).jpg" id="3" name="image1.jpg"/>
                <a:graphic>
                  <a:graphicData uri="http://schemas.openxmlformats.org/drawingml/2006/picture">
                    <pic:pic>
                      <pic:nvPicPr>
                        <pic:cNvPr descr="D:\nuevo\Downloads\logo_color (1).jpg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d9d9d9" w:val="clear"/>
          <w:vAlign w:val="center"/>
        </w:tcPr>
        <w:p w:rsidR="00000000" w:rsidDel="00000000" w:rsidP="00000000" w:rsidRDefault="00000000" w:rsidRPr="00000000" w14:paraId="000000B8">
          <w:pPr>
            <w:jc w:val="center"/>
            <w:rPr>
              <w:rFonts w:ascii="Century Gothic" w:cs="Century Gothic" w:eastAsia="Century Gothic" w:hAnsi="Century Gothic"/>
              <w:sz w:val="20"/>
              <w:szCs w:val="2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20"/>
              <w:szCs w:val="20"/>
              <w:rtl w:val="0"/>
            </w:rPr>
            <w:t xml:space="preserve">PROCESO DOCENCIA 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B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0B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DOC-F-64</w:t>
          </w:r>
        </w:p>
      </w:tc>
    </w:tr>
    <w:tr>
      <w:trPr>
        <w:cantSplit w:val="0"/>
        <w:trHeight w:val="42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B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B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Check List Arquitectura de Aula Virtual    </w:t>
          </w: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                                                                      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B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Versión:</w:t>
          </w:r>
        </w:p>
      </w:tc>
      <w:tc>
        <w:tcPr>
          <w:vAlign w:val="center"/>
        </w:tcPr>
        <w:p w:rsidR="00000000" w:rsidDel="00000000" w:rsidP="00000000" w:rsidRDefault="00000000" w:rsidRPr="00000000" w14:paraId="000000B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0"/>
              <w:szCs w:val="20"/>
              <w:rtl w:val="0"/>
            </w:rPr>
            <w:t xml:space="preserve">1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31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B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C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C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vAlign w:val="center"/>
        </w:tcPr>
        <w:p w:rsidR="00000000" w:rsidDel="00000000" w:rsidP="00000000" w:rsidRDefault="00000000" w:rsidRPr="00000000" w14:paraId="000000C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5E3D12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E9589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9589F"/>
  </w:style>
  <w:style w:type="paragraph" w:styleId="Piedepgina">
    <w:name w:val="footer"/>
    <w:basedOn w:val="Normal"/>
    <w:link w:val="PiedepginaCar"/>
    <w:uiPriority w:val="99"/>
    <w:unhideWhenUsed w:val="1"/>
    <w:rsid w:val="00E9589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9589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dVFXgXx0TeobWY7v0v7z3wcpmQ==">AMUW2mV3B7VR9unkcTOzMn4sdU4eosYurWFQLmFh+LuGkcWtuIGdYkiMqSZULw+1vDJKn+NHALx/zor0h1iucRGTVpVPKjOqiLWU07lPGV3RIPZgiXtZkHQ=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2021-07-13T15:14:00Z</dcterms:created>
  <dc:creator>Paola Ocampo</dc:creator>
</cp:coreProperties>
</file>