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Manizales, ___________</w:t>
      </w:r>
    </w:p>
    <w:p w:rsidR="00000000" w:rsidDel="00000000" w:rsidP="00000000" w:rsidRDefault="00000000" w:rsidRPr="00000000" w14:paraId="00000003">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Estudiante</w:t>
      </w:r>
    </w:p>
    <w:p w:rsidR="00000000" w:rsidDel="00000000" w:rsidP="00000000" w:rsidRDefault="00000000" w:rsidRPr="00000000" w14:paraId="00000008">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(Escribir el nombre del estudiante en mayúscula sostenida)</w:t>
      </w:r>
    </w:p>
    <w:p w:rsidR="00000000" w:rsidDel="00000000" w:rsidP="00000000" w:rsidRDefault="00000000" w:rsidRPr="00000000" w14:paraId="00000009">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 de identificación)</w:t>
      </w:r>
    </w:p>
    <w:p w:rsidR="00000000" w:rsidDel="00000000" w:rsidP="00000000" w:rsidRDefault="00000000" w:rsidRPr="00000000" w14:paraId="0000000A">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Programa _________________</w:t>
      </w:r>
    </w:p>
    <w:p w:rsidR="00000000" w:rsidDel="00000000" w:rsidP="00000000" w:rsidRDefault="00000000" w:rsidRPr="00000000" w14:paraId="0000000B">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Universidad Católica de Manizales – UCM </w:t>
      </w:r>
    </w:p>
    <w:p w:rsidR="00000000" w:rsidDel="00000000" w:rsidP="00000000" w:rsidRDefault="00000000" w:rsidRPr="00000000" w14:paraId="0000000C">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Asunto: Respuesta solicitud de Reserva de cupo</w:t>
      </w:r>
    </w:p>
    <w:p w:rsidR="00000000" w:rsidDel="00000000" w:rsidP="00000000" w:rsidRDefault="00000000" w:rsidRPr="00000000" w14:paraId="0000000F">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Cordial saludo:</w:t>
      </w:r>
    </w:p>
    <w:p w:rsidR="00000000" w:rsidDel="00000000" w:rsidP="00000000" w:rsidRDefault="00000000" w:rsidRPr="00000000" w14:paraId="00000012">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La dirección de programa analizó su solicitud de reserva de cupo para cursar _____ semestre del programa de ____________ en el _________periodo académico de 201_, y se permite informarle que ha sido aprobada. De acuerdo a lo contemplado en el Reglamento Académico de Estudiantes Pregrado, Especialización y Maestría: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39. </w:t>
      </w:r>
      <w:r w:rsidDel="00000000" w:rsidR="00000000" w:rsidRPr="00000000">
        <w:rPr>
          <w:rFonts w:ascii="Century Gothic" w:cs="Century Gothic" w:eastAsia="Century Gothic" w:hAnsi="Century Gothic"/>
          <w:rtl w:val="0"/>
        </w:rPr>
        <w:t xml:space="preserve">Modificado por el artículo 21 del Acuerdo N° 48 del 25 de marzo del 2021. Reserva de cupo. El estudiante regular o quien haya sido admitido en un programa académico puede solicitar reserva de cupo al director del programa en los siguientes casos: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tab/>
        <w:t xml:space="preserve">Cuando fue seleccionado en el proceso de admisión, pero no puede hacer uso del cupo en el período en el que fue admitido.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Cuando ha cursado parte de sus estudios y se ve precisado a interrumpirlos temporalmente. En este caso, podrá realizar reserva de cupo hasta por dos (2) períodos académicos.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En el caso del numeral primero del presente artículo el estudiante sólo podrá efectuar la reserva para el siguiente período académico, de lo contrario, deberá pagar nuevamente la inscripción.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En programas de modalidad de formación a distancia y virtual y de posgrado, el estudiante podrá efectuar la reserva de cupo para la apertura de la siguiente cohorte.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highlight w:val="white"/>
          <w:rtl w:val="0"/>
        </w:rPr>
        <w:t xml:space="preserve">Además, se le informa que para el reingreso al programa deber tener en cuenta:</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1C">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40. </w:t>
      </w:r>
      <w:r w:rsidDel="00000000" w:rsidR="00000000" w:rsidRPr="00000000">
        <w:rPr>
          <w:rFonts w:ascii="Century Gothic" w:cs="Century Gothic" w:eastAsia="Century Gothic" w:hAnsi="Century Gothic"/>
          <w:rtl w:val="0"/>
        </w:rPr>
        <w:t xml:space="preserve">Modificado por el artículo 22 del Acuerdo N° 48 del 25 de marzo del 2021. Reingreso. Quien suspendió estudios o perdió la calidad de estudiante por bajo rendimiento académico podrá solicitar reingreso a la dirección de programa o instancia equivalente. </w:t>
      </w:r>
    </w:p>
    <w:p w:rsidR="00000000" w:rsidDel="00000000" w:rsidP="00000000" w:rsidRDefault="00000000" w:rsidRPr="00000000" w14:paraId="0000001D">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Cuando se pierde la condición de estudiante por bajo rendimiento académico, podrá solicitar reingreso dentro un (1) año siguiente a su retiro y debe acogerse al plan de estudios vigente. La aprobación del reingreso está supeditada a la existencia de grupo en el período académico que hace la respectiva solicitud y a que el programa cuente con registro calificado vigente. Para aprobación del reingreso la dirección de programa debe tener en cuenta las consideraciones de perfil vocacional, pertinencia académica, calidad y beneficio mutuo para el programa, la Universidad y el estudiante. El acompañamiento en perfil vocacional corresponde a la Vicerrectoría de Bienestar y Pastoral Universitaria.</w:t>
      </w:r>
    </w:p>
    <w:p w:rsidR="00000000" w:rsidDel="00000000" w:rsidP="00000000" w:rsidRDefault="00000000" w:rsidRPr="00000000" w14:paraId="0000001E">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Parágrafo segundo. En programas académicos de pregrado el estudiante podrá solicitar reingreso hasta dos (2) veces y en programas de posgrado sólo una (1) vez. </w:t>
      </w:r>
    </w:p>
    <w:p w:rsidR="00000000" w:rsidDel="00000000" w:rsidP="00000000" w:rsidRDefault="00000000" w:rsidRPr="00000000" w14:paraId="0000001F">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tercero.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 Este cambio no tendrá costo alguno.</w:t>
      </w:r>
    </w:p>
    <w:p w:rsidR="00000000" w:rsidDel="00000000" w:rsidP="00000000" w:rsidRDefault="00000000" w:rsidRPr="00000000" w14:paraId="00000020">
      <w:pPr>
        <w:spacing w:after="0"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1">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Atentamente,</w:t>
      </w:r>
    </w:p>
    <w:p w:rsidR="00000000" w:rsidDel="00000000" w:rsidP="00000000" w:rsidRDefault="00000000" w:rsidRPr="00000000" w14:paraId="00000022">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 DE PROGRAMA</w:t>
      </w:r>
    </w:p>
    <w:p w:rsidR="00000000" w:rsidDel="00000000" w:rsidP="00000000" w:rsidRDefault="00000000" w:rsidRPr="00000000" w14:paraId="0000002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Copia: Unidad de Registro Académico; Unidad de Cartera</w:t>
      </w:r>
    </w:p>
    <w:p w:rsidR="00000000" w:rsidDel="00000000" w:rsidP="00000000" w:rsidRDefault="00000000" w:rsidRPr="00000000" w14:paraId="0000002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Anexo: solicitud del estudiante</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tbl>
      <w:tblPr>
        <w:tblStyle w:val="Table1"/>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3"/>
        <w:gridCol w:w="3402"/>
        <w:gridCol w:w="1452"/>
        <w:gridCol w:w="2551"/>
        <w:tblGridChange w:id="0">
          <w:tblGrid>
            <w:gridCol w:w="2523"/>
            <w:gridCol w:w="3402"/>
            <w:gridCol w:w="1452"/>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A">
            <w:pPr>
              <w:spacing w:after="200"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B">
            <w:pPr>
              <w:spacing w:after="200"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C">
            <w:pPr>
              <w:spacing w:after="200"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D">
            <w:pPr>
              <w:spacing w:after="200"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Fecha de vigencia</w:t>
            </w:r>
          </w:p>
        </w:tc>
      </w:tr>
      <w:tr>
        <w:trPr>
          <w:cantSplit w:val="0"/>
          <w:trHeight w:val="16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Unidad de Admisiones y Registro Académico</w:t>
            </w:r>
          </w:p>
          <w:p w:rsidR="00000000" w:rsidDel="00000000" w:rsidP="00000000" w:rsidRDefault="00000000" w:rsidRPr="00000000" w14:paraId="0000002F">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Docencia y Formación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Vicerrectoría Académica</w:t>
            </w:r>
          </w:p>
          <w:p w:rsidR="00000000" w:rsidDel="00000000" w:rsidP="00000000" w:rsidRDefault="00000000" w:rsidRPr="00000000" w14:paraId="00000031">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Decanos </w:t>
            </w:r>
          </w:p>
          <w:p w:rsidR="00000000" w:rsidDel="00000000" w:rsidP="00000000" w:rsidRDefault="00000000" w:rsidRPr="00000000" w14:paraId="00000032">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programas académicos presenciales y a distancia </w:t>
            </w:r>
          </w:p>
          <w:p w:rsidR="00000000" w:rsidDel="00000000" w:rsidP="00000000" w:rsidRDefault="00000000" w:rsidRPr="00000000" w14:paraId="00000033">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unidades académicas de formación</w:t>
            </w:r>
          </w:p>
          <w:p w:rsidR="00000000" w:rsidDel="00000000" w:rsidP="00000000" w:rsidRDefault="00000000" w:rsidRPr="00000000" w14:paraId="00000034">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Aseguramiento de Calidad</w:t>
            </w:r>
          </w:p>
          <w:p w:rsidR="00000000" w:rsidDel="00000000" w:rsidP="00000000" w:rsidRDefault="00000000" w:rsidRPr="00000000" w14:paraId="00000035">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Planeación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Rectoría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Septiembre de 2022</w:t>
            </w:r>
          </w:p>
        </w:tc>
      </w:tr>
    </w:tbl>
    <w:p w:rsidR="00000000" w:rsidDel="00000000" w:rsidP="00000000" w:rsidRDefault="00000000" w:rsidRPr="00000000" w14:paraId="00000038">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CONTROL DE CAMBIOS</w:t>
      </w:r>
    </w:p>
    <w:p w:rsidR="00000000" w:rsidDel="00000000" w:rsidP="00000000" w:rsidRDefault="00000000" w:rsidRPr="00000000" w14:paraId="0000003A">
      <w:pPr>
        <w:jc w:val="both"/>
        <w:rPr>
          <w:rFonts w:ascii="Century Gothic" w:cs="Century Gothic" w:eastAsia="Century Gothic" w:hAnsi="Century Gothic"/>
          <w:sz w:val="20"/>
          <w:szCs w:val="20"/>
        </w:rPr>
      </w:pPr>
      <w:r w:rsidDel="00000000" w:rsidR="00000000" w:rsidRPr="00000000">
        <w:rPr>
          <w:rtl w:val="0"/>
        </w:rPr>
      </w:r>
    </w:p>
    <w:tbl>
      <w:tblPr>
        <w:tblStyle w:val="Table2"/>
        <w:tblW w:w="1020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9"/>
        <w:gridCol w:w="1137"/>
        <w:gridCol w:w="1609"/>
        <w:gridCol w:w="4812"/>
        <w:tblGridChange w:id="0">
          <w:tblGrid>
            <w:gridCol w:w="2649"/>
            <w:gridCol w:w="1137"/>
            <w:gridCol w:w="1609"/>
            <w:gridCol w:w="4812"/>
          </w:tblGrid>
        </w:tblGridChange>
      </w:tblGrid>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C">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VERSIÓN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ÍTEM</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E">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MODIFICACIÓN</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Noviembre de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Todo el documento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Creación del documento</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Septiembre de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Cuerpo del documento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cambia por artículos 35 y 36 por:</w:t>
            </w:r>
          </w:p>
          <w:p w:rsidR="00000000" w:rsidDel="00000000" w:rsidP="00000000" w:rsidRDefault="00000000" w:rsidRPr="00000000" w14:paraId="00000047">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Artículo 39. Modificado por el artículo 21 del Acuerdo N° 48 del 25 de marzo del 2021. Reserva de cupo. El estudiante regular o quien haya sido admitido en un programa académico puede solicitar reserva de cupo al director del programa en los siguientes casos: </w:t>
            </w:r>
          </w:p>
          <w:p w:rsidR="00000000" w:rsidDel="00000000" w:rsidP="00000000" w:rsidRDefault="00000000" w:rsidRPr="00000000" w14:paraId="00000048">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tab/>
              <w:t xml:space="preserve">Cuando fue seleccionado en el proceso de admisión, pero no puede hacer uso del cupo en el período en el que fue admitido.</w:t>
            </w:r>
          </w:p>
          <w:p w:rsidR="00000000" w:rsidDel="00000000" w:rsidP="00000000" w:rsidRDefault="00000000" w:rsidRPr="00000000" w14:paraId="00000049">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Cuando ha cursado parte de sus estudios y se ve precisado a interrumpirlos temporalmente. En este caso, podrá realizar reserva de cupo hasta por dos (2) períodos académicos.</w:t>
            </w:r>
          </w:p>
          <w:p w:rsidR="00000000" w:rsidDel="00000000" w:rsidP="00000000" w:rsidRDefault="00000000" w:rsidRPr="00000000" w14:paraId="0000004A">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En el caso del numeral primero del presente artículo el estudiante sólo podrá efectuar la reserva para el siguiente período académico, de lo contrario, deberá pagar nuevamente la inscripción. </w:t>
            </w:r>
          </w:p>
          <w:p w:rsidR="00000000" w:rsidDel="00000000" w:rsidP="00000000" w:rsidRDefault="00000000" w:rsidRPr="00000000" w14:paraId="0000004C">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En programas de modalidad de formación a distancia y virtual y de posgrado, el estudiante podrá efectuar la reserva de cupo para la apertura de la siguiente cohorte.</w:t>
            </w:r>
          </w:p>
          <w:p w:rsidR="00000000" w:rsidDel="00000000" w:rsidP="00000000" w:rsidRDefault="00000000" w:rsidRPr="00000000" w14:paraId="0000004D">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Además, se le informa que para el reingreso al programa deber tener en cuenta:</w:t>
            </w:r>
          </w:p>
          <w:p w:rsidR="00000000" w:rsidDel="00000000" w:rsidP="00000000" w:rsidRDefault="00000000" w:rsidRPr="00000000" w14:paraId="0000004E">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Artículo 40. Modificado por el artículo 22 del Acuerdo N° 48 del 25 de marzo del 2021. Reingreso. Quien suspendió estudios o perdió la calidad de estudiante por bajo rendimiento académico podrá solicitar reingreso a la dirección de programa o instancia equivalente. </w:t>
            </w:r>
          </w:p>
          <w:p w:rsidR="00000000" w:rsidDel="00000000" w:rsidP="00000000" w:rsidRDefault="00000000" w:rsidRPr="00000000" w14:paraId="00000050">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Cuando se pierde la condición de estudiante por bajo rendimiento académico, podrá solicitar reingreso dentro un (1) año siguiente a su retiro y debe acogerse al plan de estudios vigente. La aprobación del reingreso está supeditada a la existencia de grupo en el período académico que hace la respectiva solicitud y a que el programa cuente con registro calificado vigente. Para aprobación del reingreso la dirección de programa debe tener en cuenta las consideraciones de perfil vocacional, pertinencia académica, calidad y beneficio mutuo para el programa, la Universidad y el estudiante. El acompañamiento en perfil vocacional corresponde a la Vicerrectoría de Bienestar y Pastoral Universitaria.</w:t>
            </w:r>
          </w:p>
          <w:p w:rsidR="00000000" w:rsidDel="00000000" w:rsidP="00000000" w:rsidRDefault="00000000" w:rsidRPr="00000000" w14:paraId="00000051">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Parágrafo segundo. En programas académicos de pregrado el estudiante podrá solicitar reingreso hasta dos (2) veces y en programas de posgrado sólo una (1) vez. </w:t>
            </w:r>
          </w:p>
          <w:p w:rsidR="00000000" w:rsidDel="00000000" w:rsidP="00000000" w:rsidRDefault="00000000" w:rsidRPr="00000000" w14:paraId="00000052">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tercero.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 Este cambio no tendrá costo alguno.</w:t>
            </w:r>
          </w:p>
          <w:p w:rsidR="00000000" w:rsidDel="00000000" w:rsidP="00000000" w:rsidRDefault="00000000" w:rsidRPr="00000000" w14:paraId="00000053">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Cuando se pierde la condición de estudiante por bajo rendimiento académico, podrá solicitar reingreso dentro un (1) año siguiente a su retiro y debe acogerse al plan de estudios vigente. La aprobación del reingreso está supeditada a la existencia de grupo en el período académico que hace la respectiva solicitud y a que el programa cuente con registro calificado vigente. Para aprobación del reingreso la dirección de programa debe tener en cuenta las consideraciones de perfil vocacional, pertinencia académica, calidad y beneficio mutuo para el programa, la Universidad y el estudiante. El acompañamiento en perfil vocacional corresponde a la Vicerrectoría de Bienestar y Pastoral Universitaria.</w:t>
            </w:r>
          </w:p>
          <w:p w:rsidR="00000000" w:rsidDel="00000000" w:rsidP="00000000" w:rsidRDefault="00000000" w:rsidRPr="00000000" w14:paraId="00000054">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Parágrafo segundo. En programas académicos de pregrado el estudiante podrá solicitar reingreso hasta dos (2) veces y en programas de posgrado sólo una (1) vez. </w:t>
            </w:r>
          </w:p>
          <w:p w:rsidR="00000000" w:rsidDel="00000000" w:rsidP="00000000" w:rsidRDefault="00000000" w:rsidRPr="00000000" w14:paraId="00000056">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tercero.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 Este cambio no tendrá costo alguno..</w:t>
            </w:r>
          </w:p>
          <w:p w:rsidR="00000000" w:rsidDel="00000000" w:rsidP="00000000" w:rsidRDefault="00000000" w:rsidRPr="00000000" w14:paraId="00000057">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13.</w:t>
            </w:r>
            <w:r w:rsidDel="00000000" w:rsidR="00000000" w:rsidRPr="00000000">
              <w:rPr>
                <w:rFonts w:ascii="Century Gothic" w:cs="Century Gothic" w:eastAsia="Century Gothic" w:hAnsi="Century Gothic"/>
                <w:rtl w:val="0"/>
              </w:rPr>
              <w:t xml:space="preserve"> Devolución del valor de la matrícula. El estudiante de pregrado que por cualquier razón cancele un período regular una vez iniciado, tendrá derecho al reembolso del 90% del valor pagado en caso de retiro antes de iniciar el período académico y del 50%, si lo solicita veinte (20) días calendario después del inicio de clases. En caso de fallecimiento del estudiante, se hará la devolución del 100% del valor de la matrícula al tercero que demuestre el pago de la misma, al cónyuge o hasta el 2° grado de consanguinidad. </w:t>
            </w:r>
          </w:p>
          <w:p w:rsidR="00000000" w:rsidDel="00000000" w:rsidP="00000000" w:rsidRDefault="00000000" w:rsidRPr="00000000" w14:paraId="00000059">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Vencidos estos términos no habrá lugar a devolución. </w:t>
            </w:r>
          </w:p>
          <w:p w:rsidR="00000000" w:rsidDel="00000000" w:rsidP="00000000" w:rsidRDefault="00000000" w:rsidRPr="00000000" w14:paraId="0000005A">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En el caso de programas de posgrado, el estudiante tendrá derecho al reembolso del 90% del valor pagado en caso de retiro antes de iniciar el período académico. Una vez iniciadas las clases, no habrá lugar a devolución.</w:t>
            </w:r>
          </w:p>
          <w:p w:rsidR="00000000" w:rsidDel="00000000" w:rsidP="00000000" w:rsidRDefault="00000000" w:rsidRPr="00000000" w14:paraId="0000005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elimina el número 1 en la fecha </w:t>
            </w:r>
          </w:p>
        </w:tc>
      </w:tr>
    </w:tbl>
    <w:p w:rsidR="00000000" w:rsidDel="00000000" w:rsidP="00000000" w:rsidRDefault="00000000" w:rsidRPr="00000000" w14:paraId="0000005C">
      <w:pPr>
        <w:jc w:val="both"/>
        <w:rPr>
          <w:rFonts w:ascii="Century Gothic" w:cs="Century Gothic" w:eastAsia="Century Gothic" w:hAnsi="Century Gothic"/>
          <w:sz w:val="20"/>
          <w:szCs w:val="20"/>
        </w:rPr>
      </w:pPr>
      <w:r w:rsidDel="00000000" w:rsidR="00000000" w:rsidRPr="00000000">
        <w:rPr>
          <w:rtl w:val="0"/>
        </w:rPr>
      </w:r>
    </w:p>
    <w:sectPr>
      <w:headerReference r:id="rId7" w:type="default"/>
      <w:pgSz w:h="15840" w:w="12240" w:orient="portrait"/>
      <w:pgMar w:bottom="1701"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sz w:val="20"/>
        <w:szCs w:val="20"/>
      </w:rPr>
    </w:pPr>
    <w:r w:rsidDel="00000000" w:rsidR="00000000" w:rsidRPr="00000000">
      <w:rPr>
        <w:rtl w:val="0"/>
      </w:rPr>
    </w:r>
  </w:p>
  <w:tbl>
    <w:tblPr>
      <w:tblStyle w:val="Table3"/>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4677"/>
      <w:gridCol w:w="1134"/>
      <w:gridCol w:w="1843"/>
      <w:tblGridChange w:id="0">
        <w:tblGrid>
          <w:gridCol w:w="2269"/>
          <w:gridCol w:w="4677"/>
          <w:gridCol w:w="1134"/>
          <w:gridCol w:w="1843"/>
        </w:tblGrid>
      </w:tblGridChange>
    </w:tblGrid>
    <w:tr>
      <w:trPr>
        <w:cantSplit w:val="0"/>
        <w:trHeight w:val="423" w:hRule="atLeast"/>
        <w:tblHeader w:val="0"/>
      </w:trPr>
      <w:tc>
        <w:tcPr>
          <w:vMerge w:val="restart"/>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drawing>
              <wp:inline distB="0" distT="0" distL="0" distR="0">
                <wp:extent cx="1285875"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5875" cy="609600"/>
                        </a:xfrm>
                        <a:prstGeom prst="rect"/>
                        <a:ln/>
                      </pic:spPr>
                    </pic:pic>
                  </a:graphicData>
                </a:graphic>
              </wp:inline>
            </w:drawing>
          </w:r>
          <w:r w:rsidDel="00000000" w:rsidR="00000000" w:rsidRPr="00000000">
            <w:rPr>
              <w:rtl w:val="0"/>
            </w:rPr>
          </w:r>
        </w:p>
      </w:tc>
      <w:tc>
        <w:tcPr>
          <w:shd w:fill="cccccc"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PROCESO DE DOCENCIA </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DOC – F – 4</w:t>
          </w:r>
        </w:p>
      </w:tc>
    </w:tr>
    <w:tr>
      <w:trPr>
        <w:cantSplit w:val="0"/>
        <w:trHeight w:val="415" w:hRule="atLeast"/>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RESPUESTA SOLICITUD RESERVA</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 CUPO</w:t>
          </w:r>
          <w:r w:rsidDel="00000000" w:rsidR="00000000" w:rsidRPr="00000000">
            <w:rPr>
              <w:rtl w:val="0"/>
            </w:rPr>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w:t>
          </w:r>
        </w:p>
      </w:tc>
    </w:tr>
    <w:tr>
      <w:trPr>
        <w:cantSplit w:val="0"/>
        <w:trHeight w:val="406" w:hRule="atLeast"/>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rsid w:val="000966F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966F5"/>
    <w:rPr>
      <w:rFonts w:ascii="Segoe UI" w:cs="Segoe UI" w:hAnsi="Segoe UI"/>
      <w:sz w:val="18"/>
      <w:szCs w:val="18"/>
    </w:rPr>
  </w:style>
  <w:style w:type="paragraph" w:styleId="Encabezado">
    <w:name w:val="header"/>
    <w:basedOn w:val="Normal"/>
    <w:link w:val="EncabezadoCar"/>
    <w:uiPriority w:val="99"/>
    <w:unhideWhenUsed w:val="1"/>
    <w:rsid w:val="002D2DD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D2DDF"/>
  </w:style>
  <w:style w:type="paragraph" w:styleId="Piedepgina">
    <w:name w:val="footer"/>
    <w:basedOn w:val="Normal"/>
    <w:link w:val="PiedepginaCar"/>
    <w:uiPriority w:val="99"/>
    <w:unhideWhenUsed w:val="1"/>
    <w:rsid w:val="002D2DD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D2DDF"/>
  </w:style>
  <w:style w:type="paragraph" w:styleId="NormalWeb">
    <w:name w:val="Normal (Web)"/>
    <w:basedOn w:val="Normal"/>
    <w:uiPriority w:val="99"/>
    <w:semiHidden w:val="1"/>
    <w:unhideWhenUsed w:val="1"/>
    <w:rsid w:val="00CB0C9B"/>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Default" w:customStyle="1">
    <w:name w:val="Default"/>
    <w:rsid w:val="00CB0C9B"/>
    <w:pPr>
      <w:autoSpaceDE w:val="0"/>
      <w:autoSpaceDN w:val="0"/>
      <w:adjustRightInd w:val="0"/>
      <w:spacing w:after="0" w:line="240" w:lineRule="auto"/>
    </w:pPr>
    <w:rPr>
      <w:rFonts w:ascii="Aleo" w:cs="Aleo" w:hAnsi="Aleo"/>
      <w:color w:val="000000"/>
      <w:sz w:val="24"/>
      <w:szCs w:val="24"/>
      <w:lang w:val="en-US"/>
    </w:rPr>
  </w:style>
  <w:style w:type="paragraph" w:styleId="Pa1" w:customStyle="1">
    <w:name w:val="Pa1"/>
    <w:basedOn w:val="Default"/>
    <w:next w:val="Default"/>
    <w:uiPriority w:val="99"/>
    <w:rsid w:val="00CB0C9B"/>
    <w:pPr>
      <w:spacing w:line="241" w:lineRule="atLeast"/>
    </w:pPr>
    <w:rPr>
      <w:rFonts w:cstheme="minorBidi"/>
      <w:color w:val="auto"/>
    </w:rPr>
  </w:style>
  <w:style w:type="character" w:styleId="A2" w:customStyle="1">
    <w:name w:val="A2"/>
    <w:uiPriority w:val="99"/>
    <w:rsid w:val="00CB0C9B"/>
    <w:rPr>
      <w:rFonts w:cs="Aleo"/>
      <w:color w:val="000000"/>
      <w:sz w:val="20"/>
      <w:szCs w:val="20"/>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aX2VgOTaQtRA4nnCb1TZuoChIw==">AMUW2mXr2NQIGujDF71K9wDnL1vrni15i590zUzavzDbeo41o2armiDMWLN/QZXYy4ftJV5bpKaCkiph02d4EdxT0OXs10R1GbUC2L01Du2pxuzR/7PQaMA=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2022-09-28T21:12:00Z</dcterms:created>
  <dc:creator>usuario</dc:creator>
</cp:coreProperties>
</file>