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2">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Manizales, ___________</w:t>
      </w:r>
    </w:p>
    <w:p w:rsidR="00000000" w:rsidDel="00000000" w:rsidP="00000000" w:rsidRDefault="00000000" w:rsidRPr="00000000" w14:paraId="00000003">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Estudiante</w:t>
      </w:r>
    </w:p>
    <w:p w:rsidR="00000000" w:rsidDel="00000000" w:rsidP="00000000" w:rsidRDefault="00000000" w:rsidRPr="00000000" w14:paraId="00000008">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(Escribir el nombre del estudiante en mayúscula sostenida)</w:t>
      </w:r>
    </w:p>
    <w:p w:rsidR="00000000" w:rsidDel="00000000" w:rsidP="00000000" w:rsidRDefault="00000000" w:rsidRPr="00000000" w14:paraId="00000009">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(Número de identificación)</w:t>
      </w:r>
    </w:p>
    <w:p w:rsidR="00000000" w:rsidDel="00000000" w:rsidP="00000000" w:rsidRDefault="00000000" w:rsidRPr="00000000" w14:paraId="0000000A">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Programa _________________</w:t>
      </w:r>
    </w:p>
    <w:p w:rsidR="00000000" w:rsidDel="00000000" w:rsidP="00000000" w:rsidRDefault="00000000" w:rsidRPr="00000000" w14:paraId="0000000B">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Universidad Católica de Manizales – UCM </w:t>
      </w:r>
    </w:p>
    <w:p w:rsidR="00000000" w:rsidDel="00000000" w:rsidP="00000000" w:rsidRDefault="00000000" w:rsidRPr="00000000" w14:paraId="0000000C">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Asunto: Respuesta solicitud de revisión por segundo calificador </w:t>
      </w:r>
    </w:p>
    <w:p w:rsidR="00000000" w:rsidDel="00000000" w:rsidP="00000000" w:rsidRDefault="00000000" w:rsidRPr="00000000" w14:paraId="0000000F">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Cordial saludo:</w:t>
      </w:r>
    </w:p>
    <w:p w:rsidR="00000000" w:rsidDel="00000000" w:rsidP="00000000" w:rsidRDefault="00000000" w:rsidRPr="00000000" w14:paraId="00000012">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 permito informarle que su solicitud fue __________________ (aprobada / no aprobada) y se le asignó un segundo calificador para la actividad evaluativa presentada en la fecha __________ del componente académico _________________ con código ____________________, cuya calificación fue _________.</w:t>
      </w:r>
    </w:p>
    <w:p w:rsidR="00000000" w:rsidDel="00000000" w:rsidP="00000000" w:rsidRDefault="00000000" w:rsidRPr="00000000" w14:paraId="00000014">
      <w:pPr>
        <w:spacing w:after="0"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5">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nota del segundo calificador es de __________, y se tendrá en cuenta lo contemplado en el Reglamento Académico Estudiantes de Pregrado, Especialización y Maestría:</w:t>
      </w:r>
    </w:p>
    <w:p w:rsidR="00000000" w:rsidDel="00000000" w:rsidP="00000000" w:rsidRDefault="00000000" w:rsidRPr="00000000" w14:paraId="00000016">
      <w:pPr>
        <w:spacing w:after="0" w:line="276"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7">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Artículo 63. Modificado por el artículo 45 del Acuerdo N° 48 del 25 de marzo del 2021. Segundo calificador. Agotada la instancia de la primera revisión, e inmediatamente después de la socialización de la nota de su actividad evaluativa, el estudiante puede solicitar por escrito al director del programa o unidad académica la designación de un segundo calificador, para ello, deberá entregar el documento que ha sido evaluado. </w:t>
      </w:r>
    </w:p>
    <w:p w:rsidR="00000000" w:rsidDel="00000000" w:rsidP="00000000" w:rsidRDefault="00000000" w:rsidRPr="00000000" w14:paraId="00000018">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Parágrafo primero. El director del programa académico asignará dos profesores para cumplir la función de segundo calificador, y hará entrega del trabajo a evaluar sin el nombre del estudiante. </w:t>
      </w:r>
    </w:p>
    <w:p w:rsidR="00000000" w:rsidDel="00000000" w:rsidP="00000000" w:rsidRDefault="00000000" w:rsidRPr="00000000" w14:paraId="00000019">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Parágrafo segundo. Después de ser designados como segundo calificador, los profesores cuentan con tres días hábiles para la entrega de la nota. Cuando se trate de evaluar un informe final de trabajo de grado, se establece un plazo de 5 días hábiles para la entrega de la nota de la segunda calificación. Parágrafo tercero. La segunda calificación resulta de promediar la nota de los dos profesores que ejercieron como segundo calificador. Si la nota resultante de este proceso es inferior a la que había reportado el profesor titular del componente académico, se registrará la calificación más alta, en consideración a que el segundo calificador no puede hacer más gravosa la situación del estudiante. Parágrafo cuarto. El segundo calificador solo es aplicable a actividades de evaluación desarrolladas por escrito, informes finales de trabajo de grado y entregable final de Taller de Arquitectura. No aplica a actividades prácticas, de laboratorio, ni a momentos académicos completos.</w:t>
      </w:r>
    </w:p>
    <w:p w:rsidR="00000000" w:rsidDel="00000000" w:rsidP="00000000" w:rsidRDefault="00000000" w:rsidRPr="00000000" w14:paraId="0000001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B">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Por lo tanto, su nota definitiva es (escribir la nota) obtenida con (</w:t>
      </w:r>
      <w:r w:rsidDel="00000000" w:rsidR="00000000" w:rsidRPr="00000000">
        <w:rPr>
          <w:rFonts w:ascii="Century Gothic" w:cs="Century Gothic" w:eastAsia="Century Gothic" w:hAnsi="Century Gothic"/>
          <w:b w:val="1"/>
          <w:u w:val="single"/>
          <w:rtl w:val="0"/>
        </w:rPr>
        <w:t xml:space="preserve">Seleccionar:</w:t>
      </w:r>
      <w:r w:rsidDel="00000000" w:rsidR="00000000" w:rsidRPr="00000000">
        <w:rPr>
          <w:rFonts w:ascii="Century Gothic" w:cs="Century Gothic" w:eastAsia="Century Gothic" w:hAnsi="Century Gothic"/>
          <w:rtl w:val="0"/>
        </w:rPr>
        <w:t xml:space="preserve"> segundo calificador / la primera revisión a fin de no hacer más gravosa su situación).</w:t>
      </w:r>
    </w:p>
    <w:p w:rsidR="00000000" w:rsidDel="00000000" w:rsidP="00000000" w:rsidRDefault="00000000" w:rsidRPr="00000000" w14:paraId="0000001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D">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Atentamente,</w:t>
      </w:r>
    </w:p>
    <w:p w:rsidR="00000000" w:rsidDel="00000000" w:rsidP="00000000" w:rsidRDefault="00000000" w:rsidRPr="00000000" w14:paraId="0000001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0">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(Director de programa)</w:t>
      </w:r>
    </w:p>
    <w:p w:rsidR="00000000" w:rsidDel="00000000" w:rsidP="00000000" w:rsidRDefault="00000000" w:rsidRPr="00000000" w14:paraId="0000002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2">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Copia: </w:t>
      </w:r>
      <w:r w:rsidDel="00000000" w:rsidR="00000000" w:rsidRPr="00000000">
        <w:rPr>
          <w:rFonts w:ascii="Century Gothic" w:cs="Century Gothic" w:eastAsia="Century Gothic" w:hAnsi="Century Gothic"/>
          <w:color w:val="808080"/>
          <w:sz w:val="18"/>
          <w:szCs w:val="18"/>
          <w:rtl w:val="0"/>
        </w:rPr>
        <w:t xml:space="preserve">Remplazar por el Nombre completo del docente titular</w:t>
      </w:r>
      <w:r w:rsidDel="00000000" w:rsidR="00000000" w:rsidRPr="00000000">
        <w:rPr>
          <w:rFonts w:ascii="Century Gothic" w:cs="Century Gothic" w:eastAsia="Century Gothic" w:hAnsi="Century Gothic"/>
          <w:sz w:val="18"/>
          <w:szCs w:val="18"/>
          <w:rtl w:val="0"/>
        </w:rPr>
        <w:t xml:space="preserve">, Profesor componente académico____</w:t>
      </w:r>
    </w:p>
    <w:p w:rsidR="00000000" w:rsidDel="00000000" w:rsidP="00000000" w:rsidRDefault="00000000" w:rsidRPr="00000000" w14:paraId="00000023">
      <w:pPr>
        <w:spacing w:after="0" w:line="240" w:lineRule="auto"/>
        <w:rPr>
          <w:rFonts w:ascii="Century Gothic" w:cs="Century Gothic" w:eastAsia="Century Gothic" w:hAnsi="Century Gothic"/>
          <w:sz w:val="20"/>
          <w:szCs w:val="20"/>
        </w:rPr>
      </w:pPr>
      <w:r w:rsidDel="00000000" w:rsidR="00000000" w:rsidRPr="00000000">
        <w:rPr>
          <w:rtl w:val="0"/>
        </w:rPr>
      </w:r>
    </w:p>
    <w:tbl>
      <w:tblPr>
        <w:tblStyle w:val="Table1"/>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8"/>
        <w:gridCol w:w="3715"/>
        <w:gridCol w:w="1530"/>
        <w:gridCol w:w="1730"/>
        <w:tblGridChange w:id="0">
          <w:tblGrid>
            <w:gridCol w:w="2948"/>
            <w:gridCol w:w="3715"/>
            <w:gridCol w:w="1530"/>
            <w:gridCol w:w="17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4">
            <w:pPr>
              <w:spacing w:after="0"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Elaboró</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5">
            <w:pPr>
              <w:spacing w:after="0"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Revisó</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6">
            <w:pPr>
              <w:spacing w:after="0"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Aprobó</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7">
            <w:pPr>
              <w:spacing w:after="0"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Fecha de vigencia</w:t>
            </w:r>
          </w:p>
        </w:tc>
      </w:tr>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Dirección Docencia y Formación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Vicerrectoría Académica</w:t>
            </w:r>
          </w:p>
          <w:p w:rsidR="00000000" w:rsidDel="00000000" w:rsidP="00000000" w:rsidRDefault="00000000" w:rsidRPr="00000000" w14:paraId="0000002A">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Decanos </w:t>
            </w:r>
          </w:p>
          <w:p w:rsidR="00000000" w:rsidDel="00000000" w:rsidP="00000000" w:rsidRDefault="00000000" w:rsidRPr="00000000" w14:paraId="0000002B">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Directores de programas académicos presenciales y a distancia </w:t>
            </w:r>
          </w:p>
          <w:p w:rsidR="00000000" w:rsidDel="00000000" w:rsidP="00000000" w:rsidRDefault="00000000" w:rsidRPr="00000000" w14:paraId="0000002C">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Directores de unidades académicas de formación</w:t>
            </w:r>
          </w:p>
          <w:p w:rsidR="00000000" w:rsidDel="00000000" w:rsidP="00000000" w:rsidRDefault="00000000" w:rsidRPr="00000000" w14:paraId="0000002D">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Dirección de Aseguramiento de Calidad</w:t>
            </w:r>
          </w:p>
          <w:p w:rsidR="00000000" w:rsidDel="00000000" w:rsidP="00000000" w:rsidRDefault="00000000" w:rsidRPr="00000000" w14:paraId="0000002E">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Dirección de Planeación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Rectoría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Septiembre de 2022</w:t>
            </w:r>
          </w:p>
        </w:tc>
      </w:tr>
    </w:tbl>
    <w:p w:rsidR="00000000" w:rsidDel="00000000" w:rsidP="00000000" w:rsidRDefault="00000000" w:rsidRPr="00000000" w14:paraId="00000031">
      <w:pPr>
        <w:spacing w:after="0"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2">
      <w:pPr>
        <w:spacing w:after="0"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3">
      <w:pPr>
        <w:spacing w:after="0"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4">
      <w:pPr>
        <w:spacing w:after="0"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5">
      <w:pPr>
        <w:spacing w:after="0"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6">
      <w:pPr>
        <w:spacing w:after="0"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7">
      <w:pPr>
        <w:spacing w:after="0" w:line="24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CONTROL DE CAMBIOS </w:t>
      </w:r>
    </w:p>
    <w:p w:rsidR="00000000" w:rsidDel="00000000" w:rsidP="00000000" w:rsidRDefault="00000000" w:rsidRPr="00000000" w14:paraId="00000038">
      <w:pPr>
        <w:spacing w:after="0"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9">
      <w:pPr>
        <w:jc w:val="both"/>
        <w:rPr>
          <w:rFonts w:ascii="Century Gothic" w:cs="Century Gothic" w:eastAsia="Century Gothic" w:hAnsi="Century Gothic"/>
          <w:sz w:val="20"/>
          <w:szCs w:val="20"/>
        </w:rPr>
      </w:pPr>
      <w:r w:rsidDel="00000000" w:rsidR="00000000" w:rsidRPr="00000000">
        <w:rPr>
          <w:rtl w:val="0"/>
        </w:rPr>
      </w:r>
    </w:p>
    <w:tbl>
      <w:tblPr>
        <w:tblStyle w:val="Table2"/>
        <w:tblW w:w="10631.999999999998"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2"/>
        <w:gridCol w:w="1221"/>
        <w:gridCol w:w="1605"/>
        <w:gridCol w:w="5184"/>
        <w:tblGridChange w:id="0">
          <w:tblGrid>
            <w:gridCol w:w="2622"/>
            <w:gridCol w:w="1221"/>
            <w:gridCol w:w="1605"/>
            <w:gridCol w:w="5184"/>
          </w:tblGrid>
        </w:tblGridChange>
      </w:tblGrid>
      <w:tr>
        <w:trPr>
          <w:cantSplit w:val="0"/>
          <w:trHeight w:val="722"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A">
            <w:pPr>
              <w:spacing w:line="276"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FECHA</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B">
            <w:pPr>
              <w:spacing w:line="276" w:lineRule="auto"/>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rtl w:val="0"/>
              </w:rPr>
              <w:t xml:space="preserve">VERSIÓN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C">
            <w:pPr>
              <w:spacing w:line="276"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ÍTEM</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D">
            <w:pPr>
              <w:spacing w:line="276"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MODIFICACIÓN</w:t>
            </w:r>
          </w:p>
        </w:tc>
      </w:tr>
      <w:tr>
        <w:trPr>
          <w:cantSplit w:val="0"/>
          <w:trHeight w:val="80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line="276"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Noviembre de 2015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line="276"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line="276"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Todo el documento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Creación del documento</w:t>
            </w:r>
          </w:p>
        </w:tc>
      </w:tr>
      <w:tr>
        <w:trPr>
          <w:cantSplit w:val="0"/>
          <w:trHeight w:val="80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line="276"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Septiembre de 2022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276"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line="276"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Cuerpo del documento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suprime la palabra examen.</w:t>
            </w:r>
          </w:p>
          <w:p w:rsidR="00000000" w:rsidDel="00000000" w:rsidP="00000000" w:rsidRDefault="00000000" w:rsidRPr="00000000" w14:paraId="00000046">
            <w:pPr>
              <w:spacing w:after="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cambia examen por actividad evaluativa</w:t>
            </w:r>
          </w:p>
          <w:p w:rsidR="00000000" w:rsidDel="00000000" w:rsidP="00000000" w:rsidRDefault="00000000" w:rsidRPr="00000000" w14:paraId="00000047">
            <w:pPr>
              <w:spacing w:after="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actualiza el artículo 58 por el artículo 63</w:t>
            </w:r>
          </w:p>
          <w:p w:rsidR="00000000" w:rsidDel="00000000" w:rsidP="00000000" w:rsidRDefault="00000000" w:rsidRPr="00000000" w14:paraId="00000048">
            <w:pPr>
              <w:spacing w:after="0"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9">
            <w:pPr>
              <w:spacing w:after="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Artículo 63. Modificado por el artículo 45 del Acuerdo N° 48 del 25 de marzo del 2021. Segundo calificador. Agotada la instancia de la primera revisión, e inmediatamente después de la socialización de la nota de su actividad evaluativa, el estudiante puede solicitar por escrito al director del programa o unidad académica la designación de un segundo calificador, para ello, deberá entregar el documento que ha sido evaluado. </w:t>
            </w:r>
          </w:p>
          <w:p w:rsidR="00000000" w:rsidDel="00000000" w:rsidP="00000000" w:rsidRDefault="00000000" w:rsidRPr="00000000" w14:paraId="0000004A">
            <w:pPr>
              <w:spacing w:after="0"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B">
            <w:pPr>
              <w:spacing w:after="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Parágrafo primero. El director del programa académico asignará dos profesores para cumplir la función de segundo calificador, y hará entrega del trabajo a evaluar sin el nombre del estudiante. </w:t>
            </w:r>
          </w:p>
          <w:p w:rsidR="00000000" w:rsidDel="00000000" w:rsidP="00000000" w:rsidRDefault="00000000" w:rsidRPr="00000000" w14:paraId="0000004C">
            <w:pPr>
              <w:spacing w:after="0"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D">
            <w:pPr>
              <w:spacing w:after="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Parágrafo segundo. Después de ser designados como segundo calificador, los profesores cuentan con tres días hábiles para la entrega de la nota. Cuando se trate de evaluar un informe final de trabajo de grado, se establece un plazo de 5 días hábiles para la entrega de la nota de la segunda calificación. Parágrafo tercero. La segunda calificación resulta de promediar la nota de los dos profesores que ejercieron como segundo calificador. Si la nota resultante de este proceso es inferior a la que había reportado el profesor titular del componente académico, se registrará la calificación más alta, en consideración a que el segundo calificador no puede hacer más gravosa la situación del estudiante. Parágrafo cuarto. El segundo calificador solo es aplicable a actividades de evaluación desarrolladas por escrito, informes finales de trabajo de grado y entregable final de Taller de Arquitectura. No aplica a actividades prácticas, de laboratorio, ni a momentos académicos completos.</w:t>
            </w:r>
          </w:p>
          <w:p w:rsidR="00000000" w:rsidDel="00000000" w:rsidP="00000000" w:rsidRDefault="00000000" w:rsidRPr="00000000" w14:paraId="0000004E">
            <w:pPr>
              <w:spacing w:after="0"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F">
            <w:pPr>
              <w:spacing w:after="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modifica la denominación de asignatura por componente académico</w:t>
            </w:r>
          </w:p>
          <w:p w:rsidR="00000000" w:rsidDel="00000000" w:rsidP="00000000" w:rsidRDefault="00000000" w:rsidRPr="00000000" w14:paraId="00000050">
            <w:pPr>
              <w:spacing w:line="276" w:lineRule="auto"/>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51">
      <w:pPr>
        <w:jc w:val="both"/>
        <w:rPr>
          <w:rFonts w:ascii="Century Gothic" w:cs="Century Gothic" w:eastAsia="Century Gothic" w:hAnsi="Century Gothic"/>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line="276" w:lineRule="auto"/>
      <w:rPr>
        <w:rFonts w:ascii="Century Gothic" w:cs="Century Gothic" w:eastAsia="Century Gothic" w:hAnsi="Century Gothic"/>
      </w:rPr>
    </w:pPr>
    <w:r w:rsidDel="00000000" w:rsidR="00000000" w:rsidRPr="00000000">
      <w:rPr>
        <w:rtl w:val="0"/>
      </w:rPr>
    </w:r>
  </w:p>
  <w:tbl>
    <w:tblPr>
      <w:tblStyle w:val="Table3"/>
      <w:tblW w:w="99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9"/>
      <w:gridCol w:w="4677"/>
      <w:gridCol w:w="1134"/>
      <w:gridCol w:w="1843"/>
      <w:tblGridChange w:id="0">
        <w:tblGrid>
          <w:gridCol w:w="2269"/>
          <w:gridCol w:w="4677"/>
          <w:gridCol w:w="1134"/>
          <w:gridCol w:w="1843"/>
        </w:tblGrid>
      </w:tblGridChange>
    </w:tblGrid>
    <w:tr>
      <w:trPr>
        <w:cantSplit w:val="0"/>
        <w:trHeight w:val="423" w:hRule="atLeast"/>
        <w:tblHeader w:val="0"/>
      </w:trPr>
      <w:tc>
        <w:tcPr>
          <w:vMerge w:val="restart"/>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Century Gothic" w:cs="Century Gothic" w:eastAsia="Century Gothic" w:hAnsi="Century Gothic"/>
              <w:color w:val="000000"/>
            </w:rPr>
          </w:pPr>
          <w:r w:rsidDel="00000000" w:rsidR="00000000" w:rsidRPr="00000000">
            <w:rPr/>
            <w:drawing>
              <wp:inline distB="0" distT="0" distL="0" distR="0">
                <wp:extent cx="1294765" cy="528955"/>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94765" cy="528955"/>
                        </a:xfrm>
                        <a:prstGeom prst="rect"/>
                        <a:ln/>
                      </pic:spPr>
                    </pic:pic>
                  </a:graphicData>
                </a:graphic>
              </wp:inline>
            </w:drawing>
          </w:r>
          <w:r w:rsidDel="00000000" w:rsidR="00000000" w:rsidRPr="00000000">
            <w:rPr>
              <w:rtl w:val="0"/>
            </w:rPr>
          </w:r>
        </w:p>
      </w:tc>
      <w:tc>
        <w:tcPr>
          <w:shd w:fill="cccccc" w:val="clea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PROCESO DE DOCENCIA</w:t>
          </w:r>
        </w:p>
      </w:tc>
      <w:tc>
        <w:tcP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Código</w:t>
          </w:r>
        </w:p>
      </w:tc>
      <w:tc>
        <w:tcP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DOC – F – 19</w:t>
          </w:r>
        </w:p>
      </w:tc>
    </w:tr>
    <w:tr>
      <w:trPr>
        <w:cantSplit w:val="0"/>
        <w:trHeight w:val="415" w:hRule="atLeast"/>
        <w:tblHeader w:val="0"/>
      </w:trPr>
      <w:tc>
        <w:tcPr>
          <w:vMerge w:val="continue"/>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Merge w:val="restart"/>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RESPUESTA  SOLICITUD REVISIÓN POR UN SEGUNDO CALIFICADOR</w:t>
          </w:r>
        </w:p>
      </w:tc>
      <w:tc>
        <w:tcP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Versión</w:t>
          </w:r>
        </w:p>
      </w:tc>
      <w:tc>
        <w:tcP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2</w:t>
          </w:r>
        </w:p>
      </w:tc>
    </w:tr>
    <w:tr>
      <w:trPr>
        <w:cantSplit w:val="0"/>
        <w:trHeight w:val="406" w:hRule="atLeast"/>
        <w:tblHeader w:val="0"/>
      </w:trPr>
      <w:tc>
        <w:tcPr>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Merge w:val="continue"/>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Página</w:t>
          </w:r>
        </w:p>
      </w:tc>
      <w:tc>
        <w:tcP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color w:val="000000"/>
              <w:rtl w:val="0"/>
            </w:rPr>
            <w:t xml:space="preserve"> de </w:t>
          </w:r>
          <w:r w:rsidDel="00000000" w:rsidR="00000000" w:rsidRPr="00000000">
            <w:rPr>
              <w:rFonts w:ascii="Century Gothic" w:cs="Century Gothic" w:eastAsia="Century Gothic" w:hAnsi="Century Gothic"/>
              <w:color w:val="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Textodeglobo">
    <w:name w:val="Balloon Text"/>
    <w:basedOn w:val="Normal"/>
    <w:link w:val="TextodegloboCar"/>
    <w:uiPriority w:val="99"/>
    <w:semiHidden w:val="1"/>
    <w:unhideWhenUsed w:val="1"/>
    <w:rsid w:val="000966F5"/>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0966F5"/>
    <w:rPr>
      <w:rFonts w:ascii="Segoe UI" w:cs="Segoe UI" w:hAnsi="Segoe UI"/>
      <w:sz w:val="18"/>
      <w:szCs w:val="18"/>
    </w:rPr>
  </w:style>
  <w:style w:type="paragraph" w:styleId="Encabezado">
    <w:name w:val="header"/>
    <w:basedOn w:val="Normal"/>
    <w:link w:val="EncabezadoCar"/>
    <w:uiPriority w:val="99"/>
    <w:unhideWhenUsed w:val="1"/>
    <w:rsid w:val="002D2DD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D2DDF"/>
  </w:style>
  <w:style w:type="paragraph" w:styleId="Piedepgina">
    <w:name w:val="footer"/>
    <w:basedOn w:val="Normal"/>
    <w:link w:val="PiedepginaCar"/>
    <w:uiPriority w:val="99"/>
    <w:unhideWhenUsed w:val="1"/>
    <w:rsid w:val="002D2DD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D2DDF"/>
  </w:style>
  <w:style w:type="paragraph" w:styleId="Pa1" w:customStyle="1">
    <w:name w:val="Pa1"/>
    <w:basedOn w:val="Normal"/>
    <w:next w:val="Normal"/>
    <w:uiPriority w:val="99"/>
    <w:rsid w:val="00ED2976"/>
    <w:pPr>
      <w:autoSpaceDE w:val="0"/>
      <w:autoSpaceDN w:val="0"/>
      <w:adjustRightInd w:val="0"/>
      <w:spacing w:after="0" w:line="241" w:lineRule="atLeast"/>
    </w:pPr>
    <w:rPr>
      <w:rFonts w:ascii="Aleo" w:hAnsi="Aleo"/>
      <w:sz w:val="24"/>
      <w:szCs w:val="24"/>
      <w:lang w:val="en-US"/>
    </w:rPr>
  </w:style>
  <w:style w:type="character" w:styleId="A2" w:customStyle="1">
    <w:name w:val="A2"/>
    <w:uiPriority w:val="99"/>
    <w:rsid w:val="00ED2976"/>
    <w:rPr>
      <w:rFonts w:cs="Aleo"/>
      <w:color w:val="000000"/>
      <w:sz w:val="20"/>
      <w:szCs w:val="20"/>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IrxgcjHL7JBNcWdFP1CfxAO8Eg==">AMUW2mWVsiTh6e3NzwUJlaKawl48RODldXvVURHozRUnn9w8vBB3tz4L8JJjqCyIzgLZ4BXrfL2nq8urWei4caWFArhWE5jx370ogWQyDoaXRNkvaobwvMc=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2022-09-28T21:35:00Z</dcterms:created>
  <dc:creator>usuario</dc:creator>
</cp:coreProperties>
</file>