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3"/>
        <w:gridCol w:w="3247"/>
        <w:gridCol w:w="3323"/>
        <w:tblGridChange w:id="0">
          <w:tblGrid>
            <w:gridCol w:w="3243"/>
            <w:gridCol w:w="3247"/>
            <w:gridCol w:w="3323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1515"/>
                <w:tab w:val="right" w:leader="none" w:pos="3030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Facultad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Programa Académico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Semestre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Primer apellido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Segundo apellido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Nombres</w:t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bfbfbf"/>
                <w:rtl w:val="0"/>
              </w:rPr>
              <w:t xml:space="preserve">dd / mm / 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 de estudiante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Documento de identificación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validación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line="48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line="48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 componente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hd w:fill="d9d9d9" w:val="clear"/>
              <w:spacing w:line="48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 componente académico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Valoración cuantitativa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Valoración en Letras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 del profesor No. 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Firma del profesor No. 1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 del profesor No. 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Firma del profesor No. 2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5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402"/>
        <w:gridCol w:w="1134"/>
        <w:gridCol w:w="2302"/>
        <w:tblGridChange w:id="0">
          <w:tblGrid>
            <w:gridCol w:w="3085"/>
            <w:gridCol w:w="3402"/>
            <w:gridCol w:w="1134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 </w:t>
      </w:r>
    </w:p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1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2"/>
        <w:gridCol w:w="1221"/>
        <w:gridCol w:w="1605"/>
        <w:gridCol w:w="5184"/>
        <w:tblGridChange w:id="0">
          <w:tblGrid>
            <w:gridCol w:w="2622"/>
            <w:gridCol w:w="1221"/>
            <w:gridCol w:w="1605"/>
            <w:gridCol w:w="5184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modifica la denominación de asignatura por componente académico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cambia al jurado por profesor No.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entury Gothic" w:cs="Century Gothic" w:eastAsia="Century Gothic" w:hAnsi="Century Gothic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294765" cy="52895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5289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 – F – 17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VALORACIÓN  VALIDACIÓN POR SUFICIENCIA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2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177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2C6BD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C6BD0"/>
  </w:style>
  <w:style w:type="paragraph" w:styleId="Piedepgina">
    <w:name w:val="footer"/>
    <w:basedOn w:val="Normal"/>
    <w:link w:val="PiedepginaCar"/>
    <w:uiPriority w:val="99"/>
    <w:unhideWhenUsed w:val="1"/>
    <w:rsid w:val="002C6BD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6BD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C6B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C6BD0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We6SqNmNLWsYaiu/FYPLairmtw==">AMUW2mUbClzOpYe04hLuquGUya53XTAvT6pGmkv4bEhmwWtJBqcTGhJ9IqZDT9gvTLvrrdGGNNJzbxOOwKZnhRcbSImRnipHE8zRYxk9tPUudEzaqX8bDSc=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2022-09-28T21:34:00Z</dcterms:created>
  <dc:creator>usuario</dc:creator>
</cp:coreProperties>
</file>