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61AA" w14:textId="77777777" w:rsidR="00396DAC" w:rsidRDefault="00396D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6DAC" w14:paraId="37A861AD" w14:textId="77777777">
        <w:tc>
          <w:tcPr>
            <w:tcW w:w="1702" w:type="dxa"/>
            <w:shd w:val="clear" w:color="auto" w:fill="D9D9D9"/>
            <w:vAlign w:val="center"/>
          </w:tcPr>
          <w:p w14:paraId="37A861A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37A861AC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Definir lineamientos y orientaciones para estandarizar las etapas de la participación en actividades comerciales y promocionales con instituciones que hacen parte del mercado objetivo de los programas académicos de pregrado y posgrado </w:t>
            </w:r>
            <w:r>
              <w:rPr>
                <w:rFonts w:ascii="Century Gothic" w:eastAsia="Century Gothic" w:hAnsi="Century Gothic" w:cs="Century Gothic"/>
              </w:rPr>
              <w:t>ofertados por la Universidad Católica de Manizales.</w:t>
            </w:r>
          </w:p>
        </w:tc>
      </w:tr>
    </w:tbl>
    <w:p w14:paraId="37A861AE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96DAC" w14:paraId="37A861B1" w14:textId="77777777">
        <w:tc>
          <w:tcPr>
            <w:tcW w:w="1702" w:type="dxa"/>
            <w:shd w:val="clear" w:color="auto" w:fill="D9D9D9"/>
            <w:vAlign w:val="center"/>
          </w:tcPr>
          <w:p w14:paraId="37A861A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37A861B0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Desde la programación de las actividades hasta su retroalimentación y seguimiento.  </w:t>
            </w:r>
          </w:p>
        </w:tc>
      </w:tr>
    </w:tbl>
    <w:p w14:paraId="37A861B2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396DAC" w14:paraId="37A861B9" w14:textId="77777777">
        <w:tc>
          <w:tcPr>
            <w:tcW w:w="1686" w:type="dxa"/>
            <w:shd w:val="clear" w:color="auto" w:fill="D9D9D9"/>
            <w:vAlign w:val="center"/>
          </w:tcPr>
          <w:p w14:paraId="37A861B3" w14:textId="77777777" w:rsidR="00396DAC" w:rsidRDefault="0014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37A861B4" w14:textId="487C6851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FERIA DE UNIVERSIDADES: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Visita a feria de colegios específicamente de grado 10 y 11, a </w:t>
            </w:r>
            <w:r>
              <w:rPr>
                <w:rFonts w:ascii="Century Gothic" w:eastAsia="Century Gothic" w:hAnsi="Century Gothic" w:cs="Century Gothic"/>
              </w:rPr>
              <w:t>través de la Red de feria de Universidades de Manizales (organización conformada por las diferentes universidades de Manizales y la Policía Nacional), invitación de colegios, entidades particulares, universidades, organismos gubernamentales.</w:t>
            </w:r>
          </w:p>
          <w:p w14:paraId="37A861B5" w14:textId="1921C0E2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VISITA A COLEG</w:t>
            </w:r>
            <w:r>
              <w:rPr>
                <w:rFonts w:ascii="Century Gothic" w:eastAsia="Century Gothic" w:hAnsi="Century Gothic" w:cs="Century Gothic"/>
              </w:rPr>
              <w:t>IOS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 xml:space="preserve">Visita a colegios específicamente </w:t>
            </w:r>
            <w:r w:rsidR="004D44E4">
              <w:rPr>
                <w:rFonts w:ascii="Century Gothic" w:eastAsia="Century Gothic" w:hAnsi="Century Gothic" w:cs="Century Gothic"/>
              </w:rPr>
              <w:t xml:space="preserve">a estudiantes </w:t>
            </w:r>
            <w:r>
              <w:rPr>
                <w:rFonts w:ascii="Century Gothic" w:eastAsia="Century Gothic" w:hAnsi="Century Gothic" w:cs="Century Gothic"/>
              </w:rPr>
              <w:t>de grado 10 y 11, exclusivamente como Universidad Católica de Manizales en las ciudades que hacen parte de su zona de influencia.</w:t>
            </w:r>
          </w:p>
          <w:p w14:paraId="37A861B6" w14:textId="075B2B55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VISITAS DE COLEGIOS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 xml:space="preserve">Visita de colegios específicamente </w:t>
            </w:r>
            <w:r w:rsidR="0032569F">
              <w:rPr>
                <w:rFonts w:ascii="Century Gothic" w:eastAsia="Century Gothic" w:hAnsi="Century Gothic" w:cs="Century Gothic"/>
              </w:rPr>
              <w:t xml:space="preserve">de estudiantes </w:t>
            </w:r>
            <w:r>
              <w:rPr>
                <w:rFonts w:ascii="Century Gothic" w:eastAsia="Century Gothic" w:hAnsi="Century Gothic" w:cs="Century Gothic"/>
              </w:rPr>
              <w:t>de</w:t>
            </w:r>
            <w:r>
              <w:rPr>
                <w:rFonts w:ascii="Century Gothic" w:eastAsia="Century Gothic" w:hAnsi="Century Gothic" w:cs="Century Gothic"/>
              </w:rPr>
              <w:t xml:space="preserve"> grado 10 y 11, a las instalaciones de la Universidad Católica de Manizales con el fin de promover la oferta académica.</w:t>
            </w:r>
          </w:p>
          <w:p w14:paraId="37A861B7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MERCADO OBJETIVO POSGRADO: Personas con intereses de formación en los programas de posgrado de la UCM ubicadas en gremios, entidades, em</w:t>
            </w:r>
            <w:r>
              <w:rPr>
                <w:rFonts w:ascii="Century Gothic" w:eastAsia="Century Gothic" w:hAnsi="Century Gothic" w:cs="Century Gothic"/>
              </w:rPr>
              <w:t xml:space="preserve">presas, colegios, sindicatos, asociaciones, etc. </w:t>
            </w:r>
          </w:p>
          <w:p w14:paraId="37A861B8" w14:textId="4F908F22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PARTICIPACIÓN EN EVENTOS: Participar en eventos externos y propios de programas de </w:t>
            </w:r>
            <w:r w:rsidR="00DB46BE">
              <w:rPr>
                <w:rFonts w:ascii="Century Gothic" w:eastAsia="Century Gothic" w:hAnsi="Century Gothic" w:cs="Century Gothic"/>
              </w:rPr>
              <w:t xml:space="preserve">Pregrados y </w:t>
            </w:r>
            <w:r>
              <w:rPr>
                <w:rFonts w:ascii="Century Gothic" w:eastAsia="Century Gothic" w:hAnsi="Century Gothic" w:cs="Century Gothic"/>
              </w:rPr>
              <w:t>Posgrados a nivel nacional, según temas de interés y áreas de conocimiento.</w:t>
            </w:r>
          </w:p>
        </w:tc>
      </w:tr>
    </w:tbl>
    <w:p w14:paraId="37A861BA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66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170"/>
        <w:gridCol w:w="2268"/>
        <w:gridCol w:w="2693"/>
      </w:tblGrid>
      <w:tr w:rsidR="00396DAC" w14:paraId="37A861BC" w14:textId="77777777">
        <w:tc>
          <w:tcPr>
            <w:tcW w:w="10066" w:type="dxa"/>
            <w:gridSpan w:val="5"/>
            <w:shd w:val="clear" w:color="auto" w:fill="D9D9D9"/>
          </w:tcPr>
          <w:p w14:paraId="37A861B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396DAC" w14:paraId="37A861C2" w14:textId="77777777">
        <w:tc>
          <w:tcPr>
            <w:tcW w:w="425" w:type="dxa"/>
            <w:shd w:val="clear" w:color="auto" w:fill="D9D9D9"/>
            <w:vAlign w:val="center"/>
          </w:tcPr>
          <w:p w14:paraId="37A861B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37A861B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37A861B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7A861C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A861C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396DAC" w14:paraId="37A861CE" w14:textId="77777777">
        <w:trPr>
          <w:trHeight w:val="860"/>
        </w:trPr>
        <w:tc>
          <w:tcPr>
            <w:tcW w:w="425" w:type="dxa"/>
            <w:vAlign w:val="center"/>
          </w:tcPr>
          <w:p w14:paraId="37A861C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37A861C4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37A861C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C6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Programación de las actividades a desarrollar durante el semestre en cuanto a actividades con colegios y visitas a instituciones a nivel local y nacional se </w:t>
            </w:r>
            <w:r>
              <w:rPr>
                <w:rFonts w:ascii="Century Gothic" w:eastAsia="Century Gothic" w:hAnsi="Century Gothic" w:cs="Century Gothic"/>
              </w:rPr>
              <w:t>refiere. Si se requiere, interviene el personal académico</w:t>
            </w:r>
          </w:p>
        </w:tc>
        <w:tc>
          <w:tcPr>
            <w:tcW w:w="2268" w:type="dxa"/>
            <w:vAlign w:val="center"/>
          </w:tcPr>
          <w:p w14:paraId="37A861C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37A861C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37A861C9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C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Mercadeo.</w:t>
            </w:r>
          </w:p>
        </w:tc>
        <w:tc>
          <w:tcPr>
            <w:tcW w:w="2693" w:type="dxa"/>
            <w:vAlign w:val="center"/>
          </w:tcPr>
          <w:p w14:paraId="37A861C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visitas a colegios e instituciones </w:t>
            </w:r>
          </w:p>
          <w:p w14:paraId="37A861C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– 4</w:t>
            </w:r>
          </w:p>
          <w:p w14:paraId="37A861CD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96DAC" w14:paraId="37A861D9" w14:textId="77777777">
        <w:trPr>
          <w:trHeight w:val="973"/>
        </w:trPr>
        <w:tc>
          <w:tcPr>
            <w:tcW w:w="425" w:type="dxa"/>
            <w:vAlign w:val="center"/>
          </w:tcPr>
          <w:p w14:paraId="37A861CF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37A861D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D1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Acercamiento con las personas o entidades responsables en cada uno de los colegios, vía telefónica, correo electrónico o personalmente. Rectores, psicólogos, coordinadores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académicos, docentes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psicorientadores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gerentes, coordinadores de talento humano.</w:t>
            </w:r>
          </w:p>
        </w:tc>
        <w:tc>
          <w:tcPr>
            <w:tcW w:w="2268" w:type="dxa"/>
            <w:vAlign w:val="center"/>
          </w:tcPr>
          <w:p w14:paraId="37A861D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As</w:t>
            </w:r>
            <w:r>
              <w:rPr>
                <w:rFonts w:ascii="Century Gothic" w:eastAsia="Century Gothic" w:hAnsi="Century Gothic" w:cs="Century Gothic"/>
              </w:rPr>
              <w:t>istente Comercial.</w:t>
            </w:r>
          </w:p>
          <w:p w14:paraId="37A861D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D4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D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Servicio al Cliente.</w:t>
            </w:r>
          </w:p>
        </w:tc>
        <w:tc>
          <w:tcPr>
            <w:tcW w:w="2693" w:type="dxa"/>
            <w:vAlign w:val="center"/>
          </w:tcPr>
          <w:p w14:paraId="37A861D6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visitas a colegios e instituciones </w:t>
            </w:r>
          </w:p>
          <w:p w14:paraId="37A861D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– 4</w:t>
            </w:r>
          </w:p>
          <w:p w14:paraId="37A861D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</w:tr>
      <w:tr w:rsidR="00396DAC" w14:paraId="37A861EA" w14:textId="77777777">
        <w:trPr>
          <w:trHeight w:val="273"/>
        </w:trPr>
        <w:tc>
          <w:tcPr>
            <w:tcW w:w="425" w:type="dxa"/>
            <w:vAlign w:val="center"/>
          </w:tcPr>
          <w:p w14:paraId="37A861D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37A861D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37A861DC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Diseño de la logística de la visita, teniendo en cuenta material publicitario, recursos tecnológicos, humanos, espacios, permisos, </w:t>
            </w:r>
            <w:r>
              <w:rPr>
                <w:rFonts w:ascii="Century Gothic" w:eastAsia="Century Gothic" w:hAnsi="Century Gothic" w:cs="Century Gothic"/>
              </w:rPr>
              <w:t>transporte, instalaciones.</w:t>
            </w:r>
          </w:p>
          <w:p w14:paraId="37A861DD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tiene en cuenta la programación de las ferias de universidades, definidas por la red.</w:t>
            </w:r>
          </w:p>
          <w:p w14:paraId="37A861DE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tiene en cuenta la disponibilidad del personal académico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en caso que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se requiera.</w:t>
            </w:r>
          </w:p>
          <w:p w14:paraId="37A861D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caso de inmersión de los estudiantes se planean los </w:t>
            </w:r>
            <w:r>
              <w:rPr>
                <w:rFonts w:ascii="Century Gothic" w:eastAsia="Century Gothic" w:hAnsi="Century Gothic" w:cs="Century Gothic"/>
              </w:rPr>
              <w:t>horarios, las actividades, los espacios, los materiales y la dinámica.</w:t>
            </w:r>
          </w:p>
        </w:tc>
        <w:tc>
          <w:tcPr>
            <w:tcW w:w="2268" w:type="dxa"/>
            <w:vAlign w:val="center"/>
          </w:tcPr>
          <w:p w14:paraId="37A861E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1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E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4" w14:textId="144D17FD" w:rsidR="00396DAC" w:rsidRDefault="00341334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</w:t>
            </w:r>
          </w:p>
        </w:tc>
        <w:tc>
          <w:tcPr>
            <w:tcW w:w="2693" w:type="dxa"/>
            <w:vAlign w:val="center"/>
          </w:tcPr>
          <w:p w14:paraId="37A861E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Programación del evento.</w:t>
            </w:r>
          </w:p>
          <w:p w14:paraId="37A861E6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7" w14:textId="3902A52B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Invitación a feria</w:t>
            </w:r>
            <w:r w:rsidR="00341334"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 xml:space="preserve"> de Universidades.</w:t>
            </w:r>
          </w:p>
          <w:p w14:paraId="37A861E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E9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96DAC" w14:paraId="37A861F3" w14:textId="77777777">
        <w:trPr>
          <w:trHeight w:val="881"/>
        </w:trPr>
        <w:tc>
          <w:tcPr>
            <w:tcW w:w="425" w:type="dxa"/>
            <w:vAlign w:val="center"/>
          </w:tcPr>
          <w:p w14:paraId="37A861E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37A861E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 </w:t>
            </w:r>
          </w:p>
        </w:tc>
        <w:tc>
          <w:tcPr>
            <w:tcW w:w="4170" w:type="dxa"/>
            <w:vAlign w:val="center"/>
          </w:tcPr>
          <w:p w14:paraId="37A861ED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Asistencia al evento, visita o actividad con tiempo previo </w:t>
            </w:r>
            <w:r>
              <w:rPr>
                <w:rFonts w:ascii="Century Gothic" w:eastAsia="Century Gothic" w:hAnsi="Century Gothic" w:cs="Century Gothic"/>
              </w:rPr>
              <w:t>para la organización y adaptación de los recursos, teniendo en cuenta la pertinencia de la presencia del personal académico.</w:t>
            </w:r>
          </w:p>
        </w:tc>
        <w:tc>
          <w:tcPr>
            <w:tcW w:w="2268" w:type="dxa"/>
            <w:vAlign w:val="center"/>
          </w:tcPr>
          <w:p w14:paraId="37A861E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EF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F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1F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Cumplido Comisión.</w:t>
            </w:r>
          </w:p>
          <w:p w14:paraId="37A861F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- 13</w:t>
            </w:r>
          </w:p>
        </w:tc>
      </w:tr>
      <w:tr w:rsidR="00396DAC" w14:paraId="37A861FC" w14:textId="77777777">
        <w:trPr>
          <w:trHeight w:val="1134"/>
        </w:trPr>
        <w:tc>
          <w:tcPr>
            <w:tcW w:w="425" w:type="dxa"/>
            <w:vAlign w:val="center"/>
          </w:tcPr>
          <w:p w14:paraId="37A861F4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37A861F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1F6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Comunicación de la información actualizada, oportuna y </w:t>
            </w:r>
            <w:r>
              <w:rPr>
                <w:rFonts w:ascii="Century Gothic" w:eastAsia="Century Gothic" w:hAnsi="Century Gothic" w:cs="Century Gothic"/>
              </w:rPr>
              <w:t>completa de los programas académicos, solicitando el diligenciamiento del formato definido para la captura de información, teniendo en cuenta la pertinencia del personal académico.</w:t>
            </w:r>
          </w:p>
        </w:tc>
        <w:tc>
          <w:tcPr>
            <w:tcW w:w="2268" w:type="dxa"/>
            <w:vAlign w:val="center"/>
          </w:tcPr>
          <w:p w14:paraId="37A861F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1F8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1F9" w14:textId="693C8A6F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1FA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Material publicitario.</w:t>
            </w:r>
          </w:p>
          <w:p w14:paraId="37A861F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</w:tc>
      </w:tr>
      <w:tr w:rsidR="00396DAC" w14:paraId="37A86204" w14:textId="77777777">
        <w:trPr>
          <w:trHeight w:val="967"/>
        </w:trPr>
        <w:tc>
          <w:tcPr>
            <w:tcW w:w="425" w:type="dxa"/>
            <w:vAlign w:val="center"/>
          </w:tcPr>
          <w:p w14:paraId="37A861F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37A861F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1F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Diligenciamiento del cumplido de comisión, que permite evidenciar la presencia de la UCM en la actividad.</w:t>
            </w:r>
          </w:p>
        </w:tc>
        <w:tc>
          <w:tcPr>
            <w:tcW w:w="2268" w:type="dxa"/>
            <w:vAlign w:val="center"/>
          </w:tcPr>
          <w:p w14:paraId="37A8620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201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  <w:tc>
          <w:tcPr>
            <w:tcW w:w="2693" w:type="dxa"/>
            <w:vAlign w:val="center"/>
          </w:tcPr>
          <w:p w14:paraId="37A8620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Cumplido Comisión.</w:t>
            </w:r>
          </w:p>
          <w:p w14:paraId="37A8620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- 13</w:t>
            </w:r>
          </w:p>
        </w:tc>
      </w:tr>
      <w:tr w:rsidR="00396DAC" w14:paraId="37A8620C" w14:textId="77777777">
        <w:trPr>
          <w:trHeight w:val="967"/>
        </w:trPr>
        <w:tc>
          <w:tcPr>
            <w:tcW w:w="425" w:type="dxa"/>
            <w:vAlign w:val="center"/>
          </w:tcPr>
          <w:p w14:paraId="37A8620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37A86206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207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Digitación de la información recolectada en una base de datos unificada.</w:t>
            </w:r>
          </w:p>
        </w:tc>
        <w:tc>
          <w:tcPr>
            <w:tcW w:w="2268" w:type="dxa"/>
            <w:vAlign w:val="center"/>
          </w:tcPr>
          <w:p w14:paraId="37A8620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Asistente de Mercadeo. </w:t>
            </w:r>
          </w:p>
          <w:p w14:paraId="37A86209" w14:textId="59515B2C" w:rsidR="00396DAC" w:rsidRDefault="009B7C9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Mercadeo.</w:t>
            </w:r>
          </w:p>
        </w:tc>
        <w:tc>
          <w:tcPr>
            <w:tcW w:w="2693" w:type="dxa"/>
            <w:vAlign w:val="center"/>
          </w:tcPr>
          <w:p w14:paraId="37A8620B" w14:textId="0890397A" w:rsidR="00396DAC" w:rsidRDefault="0014653E" w:rsidP="00164CB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Base de datos unificada de interesados.</w:t>
            </w:r>
            <w:r w:rsidR="009B7C99">
              <w:rPr>
                <w:rFonts w:ascii="Century Gothic" w:eastAsia="Century Gothic" w:hAnsi="Century Gothic" w:cs="Century Gothic"/>
              </w:rPr>
              <w:t xml:space="preserve"> CRM</w:t>
            </w:r>
          </w:p>
        </w:tc>
      </w:tr>
      <w:tr w:rsidR="00396DAC" w14:paraId="37A86217" w14:textId="77777777">
        <w:trPr>
          <w:trHeight w:val="967"/>
        </w:trPr>
        <w:tc>
          <w:tcPr>
            <w:tcW w:w="425" w:type="dxa"/>
            <w:vAlign w:val="center"/>
          </w:tcPr>
          <w:p w14:paraId="37A8620D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08</w:t>
            </w:r>
          </w:p>
        </w:tc>
        <w:tc>
          <w:tcPr>
            <w:tcW w:w="510" w:type="dxa"/>
            <w:vAlign w:val="center"/>
          </w:tcPr>
          <w:p w14:paraId="37A8620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37A8620F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y retroalimentación del proceso, enviando la información solicitada por vía correo electrónico o telefónicamente, para persuadir a los interesados p</w:t>
            </w:r>
            <w:r>
              <w:rPr>
                <w:rFonts w:ascii="Century Gothic" w:eastAsia="Century Gothic" w:hAnsi="Century Gothic" w:cs="Century Gothic"/>
              </w:rPr>
              <w:t>ara el proceso de inscripciones.</w:t>
            </w:r>
          </w:p>
        </w:tc>
        <w:tc>
          <w:tcPr>
            <w:tcW w:w="2268" w:type="dxa"/>
            <w:vAlign w:val="center"/>
          </w:tcPr>
          <w:p w14:paraId="37A86210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7A86211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Asistente de Mercadeo.</w:t>
            </w:r>
          </w:p>
          <w:p w14:paraId="37A86212" w14:textId="526FBAA9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3820C8">
              <w:rPr>
                <w:rFonts w:ascii="Century Gothic" w:eastAsia="Century Gothic" w:hAnsi="Century Gothic" w:cs="Century Gothic"/>
              </w:rPr>
              <w:t>Auxiliar de Mercadeo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37A86213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214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correos electrónicos.</w:t>
            </w:r>
          </w:p>
          <w:p w14:paraId="37A8621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a interesados, preinscritos e inscritos.</w:t>
            </w:r>
          </w:p>
          <w:p w14:paraId="37A86216" w14:textId="1C6C3C46" w:rsidR="00396DAC" w:rsidRDefault="003820C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CRM</w:t>
            </w:r>
          </w:p>
        </w:tc>
      </w:tr>
      <w:tr w:rsidR="00396DAC" w14:paraId="37A86221" w14:textId="77777777">
        <w:trPr>
          <w:trHeight w:val="967"/>
        </w:trPr>
        <w:tc>
          <w:tcPr>
            <w:tcW w:w="425" w:type="dxa"/>
            <w:vAlign w:val="center"/>
          </w:tcPr>
          <w:p w14:paraId="37A8621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37A86219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37A8621A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Acompañamiento y seguimiento en el proceso de preinscripción, </w:t>
            </w:r>
            <w:r>
              <w:rPr>
                <w:rFonts w:ascii="Century Gothic" w:eastAsia="Century Gothic" w:hAnsi="Century Gothic" w:cs="Century Gothic"/>
              </w:rPr>
              <w:t>inscripción, entrevista y admisión a los aspirantes como parte de la estrategia de servicio.</w:t>
            </w:r>
          </w:p>
        </w:tc>
        <w:tc>
          <w:tcPr>
            <w:tcW w:w="2268" w:type="dxa"/>
            <w:vAlign w:val="center"/>
          </w:tcPr>
          <w:p w14:paraId="37A8621B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Mercadeo y Comunicaciones.</w:t>
            </w:r>
          </w:p>
          <w:p w14:paraId="37A8621C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Asistente de Mercadeo </w:t>
            </w:r>
          </w:p>
          <w:p w14:paraId="37A8621D" w14:textId="16BD42FB" w:rsidR="00396DAC" w:rsidRDefault="00C2536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 de Mercadeo.</w:t>
            </w:r>
          </w:p>
        </w:tc>
        <w:tc>
          <w:tcPr>
            <w:tcW w:w="2693" w:type="dxa"/>
            <w:vAlign w:val="center"/>
          </w:tcPr>
          <w:p w14:paraId="37A8621E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a interesados, preinscritos e inscritos.</w:t>
            </w:r>
          </w:p>
          <w:p w14:paraId="37A8621F" w14:textId="78A5A327" w:rsidR="00396DAC" w:rsidRDefault="00C25362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CRM</w:t>
            </w:r>
          </w:p>
          <w:p w14:paraId="37A86220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Formulario de Inscripción (digital) </w:t>
            </w:r>
          </w:p>
        </w:tc>
      </w:tr>
      <w:tr w:rsidR="00396DAC" w14:paraId="37A86229" w14:textId="77777777">
        <w:trPr>
          <w:trHeight w:val="967"/>
        </w:trPr>
        <w:tc>
          <w:tcPr>
            <w:tcW w:w="425" w:type="dxa"/>
            <w:vAlign w:val="center"/>
          </w:tcPr>
          <w:p w14:paraId="37A86222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37A86223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37A86224" w14:textId="77777777" w:rsidR="00396DAC" w:rsidRDefault="0014653E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Comparación y medición de los resultados del proceso de inscripción con respecto a la cantidad de inscritos del período anterior.</w:t>
            </w:r>
          </w:p>
        </w:tc>
        <w:tc>
          <w:tcPr>
            <w:tcW w:w="2268" w:type="dxa"/>
            <w:vAlign w:val="center"/>
          </w:tcPr>
          <w:p w14:paraId="37A86225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Coordinador de Mercadeo y Comunicaciones.</w:t>
            </w:r>
          </w:p>
          <w:p w14:paraId="37A86226" w14:textId="77777777" w:rsidR="00396DAC" w:rsidRDefault="00396DA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37A86227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  <w:t xml:space="preserve">Plan Estratégico de Marketing </w:t>
            </w:r>
          </w:p>
          <w:p w14:paraId="37A86228" w14:textId="77777777" w:rsidR="00396DAC" w:rsidRDefault="0014653E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  <w:highlight w:val="white"/>
              </w:rPr>
              <w:t xml:space="preserve">GME - F - 2 </w:t>
            </w:r>
          </w:p>
        </w:tc>
      </w:tr>
    </w:tbl>
    <w:p w14:paraId="37A8622A" w14:textId="77777777" w:rsidR="00396DAC" w:rsidRDefault="00396DAC">
      <w:pPr>
        <w:ind w:left="0" w:hanging="2"/>
        <w:rPr>
          <w:rFonts w:ascii="Century Gothic" w:eastAsia="Century Gothic" w:hAnsi="Century Gothic" w:cs="Century Gothic"/>
        </w:rPr>
      </w:pPr>
    </w:p>
    <w:p w14:paraId="37A8622B" w14:textId="77777777" w:rsidR="00396DAC" w:rsidRDefault="00396DAC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84BAD26" w14:textId="77777777" w:rsidR="00B56496" w:rsidRDefault="00B56496" w:rsidP="00B56496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B56496" w14:paraId="2078F542" w14:textId="77777777" w:rsidTr="6489D685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E8205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EACFF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F6870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65432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56496" w14:paraId="48E12B93" w14:textId="77777777" w:rsidTr="6489D685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873" w14:textId="27941D48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6BD0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1CB2E3F4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15DFD5DE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7167" w14:textId="77777777" w:rsidR="00B56496" w:rsidRDefault="00B56496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866" w14:textId="679F9E3E" w:rsidR="00B56496" w:rsidRDefault="00144024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6489D685">
              <w:rPr>
                <w:rFonts w:ascii="Century Gothic" w:hAnsi="Century Gothic"/>
              </w:rPr>
              <w:t>Julio del 2022</w:t>
            </w:r>
          </w:p>
        </w:tc>
      </w:tr>
    </w:tbl>
    <w:p w14:paraId="01517AED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</w:p>
    <w:p w14:paraId="2DE58561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593AA551" w14:textId="77777777" w:rsidR="00B56496" w:rsidRDefault="00B56496" w:rsidP="00B56496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1134"/>
        <w:gridCol w:w="1673"/>
        <w:gridCol w:w="4995"/>
      </w:tblGrid>
      <w:tr w:rsidR="00B56496" w:rsidRPr="000E1C5B" w14:paraId="12F12A32" w14:textId="77777777" w:rsidTr="0060478C">
        <w:trPr>
          <w:trHeight w:val="5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E4F9EB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54744E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FE9632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D4EF67" w14:textId="77777777" w:rsidR="00B56496" w:rsidRPr="000E1C5B" w:rsidRDefault="00B56496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0E1C5B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B56496" w:rsidRPr="000E1C5B" w14:paraId="087C32B5" w14:textId="77777777" w:rsidTr="0060478C">
        <w:trPr>
          <w:trHeight w:val="6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755" w14:textId="77777777" w:rsidR="00B56496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364A74FD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2A137F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746795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E20474" w14:textId="77777777" w:rsidR="0041773F" w:rsidRDefault="0041773F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036C9E6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509B11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CB907C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51C75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14AA63" w14:textId="151FAC2D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Nov 2016</w:t>
            </w:r>
          </w:p>
          <w:p w14:paraId="1E94D81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78019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AB4A03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38CB7C" w14:textId="25E3092C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66AA7CA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46DF37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8227B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BD4F4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DF38F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2CB6A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B26DF4" w14:textId="015F964F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26BA7E3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07E4EF6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C7F62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F24CA0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1EE0D8" w14:textId="1510B26F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47681D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F15832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32EDF71" w14:textId="77777777" w:rsidR="00A41775" w:rsidRDefault="00A41775" w:rsidP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4A56E8D4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70E8CE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2B1A73" w14:textId="77777777" w:rsidR="00A41775" w:rsidRDefault="00A41775" w:rsidP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040F9E73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591945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ED602A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FDF784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A3B6E5B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2E8872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AC126E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2E06A3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7F5316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C30B43C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EAAD32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594697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BC53630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7F9FA4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1A2FEC0E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79F7AE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8DBE4DD" w14:textId="77777777" w:rsidR="00A41775" w:rsidRDefault="00A4177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79FA18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66DD89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1B8569" w14:textId="1F739ACC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May 2021</w:t>
            </w:r>
          </w:p>
          <w:p w14:paraId="263615F5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400CF5" w14:textId="77777777" w:rsidR="00260785" w:rsidRDefault="00260785" w:rsidP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May 2021</w:t>
            </w:r>
          </w:p>
          <w:p w14:paraId="0FFBCEFA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AD8F5A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FE368D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A0CFA6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E9962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D8B0F4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4E2D70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C0FFC9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856535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21510F1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4F7F14" w14:textId="23DF3548" w:rsidR="00260785" w:rsidRDefault="0014653E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 2022</w:t>
            </w:r>
          </w:p>
          <w:p w14:paraId="702178AB" w14:textId="77777777" w:rsidR="00260785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EC8998" w14:textId="03F52F3A" w:rsidR="00260785" w:rsidRPr="000E1C5B" w:rsidRDefault="00260785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97A1" w14:textId="77777777" w:rsidR="00B56496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60B649B4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4AC56E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971826" w14:textId="77777777" w:rsidR="000E1C5B" w:rsidRP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E398E4" w14:textId="77777777" w:rsidR="000E1C5B" w:rsidRDefault="000E1C5B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02</w:t>
            </w:r>
          </w:p>
          <w:p w14:paraId="253BF54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6039CC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7E3E5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D76269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97364DC" w14:textId="074B3CF3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4D93DAF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48DE5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8E8960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89DB99" w14:textId="79E62081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077029">
              <w:rPr>
                <w:rFonts w:ascii="Century Gothic" w:eastAsia="Century Gothic" w:hAnsi="Century Gothic" w:cs="Century Gothic"/>
              </w:rPr>
              <w:t>2</w:t>
            </w:r>
          </w:p>
          <w:p w14:paraId="47EF5FA8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52FD8C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462B7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86B976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55EB3E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96D9DC7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9587BB" w14:textId="3B9377C1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077029">
              <w:rPr>
                <w:rFonts w:ascii="Century Gothic" w:eastAsia="Century Gothic" w:hAnsi="Century Gothic" w:cs="Century Gothic"/>
              </w:rPr>
              <w:t>2</w:t>
            </w:r>
          </w:p>
          <w:p w14:paraId="3D8C3D6B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D613A2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6CC8F0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792C5D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47AB7B" w14:textId="065B10E9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297CA2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99CC61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3F9AD9" w14:textId="48C33B05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3C180D0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794CF2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468A121" w14:textId="2678AD7C" w:rsidR="0060478C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E121E53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3F3D30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118FE5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610898" w14:textId="7B2192E3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F267F7">
              <w:rPr>
                <w:rFonts w:ascii="Century Gothic" w:eastAsia="Century Gothic" w:hAnsi="Century Gothic" w:cs="Century Gothic"/>
              </w:rPr>
              <w:t>3</w:t>
            </w:r>
          </w:p>
          <w:p w14:paraId="4EA3583A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4C6F98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72DC70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807A41" w14:textId="77777777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BD9779" w14:textId="0DAF4DB8" w:rsidR="00077029" w:rsidRDefault="0007702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F267F7">
              <w:rPr>
                <w:rFonts w:ascii="Century Gothic" w:eastAsia="Century Gothic" w:hAnsi="Century Gothic" w:cs="Century Gothic"/>
              </w:rPr>
              <w:t>3</w:t>
            </w:r>
          </w:p>
          <w:p w14:paraId="5CB39226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544C3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7E1E06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2C0D7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AED043" w14:textId="738EDD8A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118993BB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53890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1DB7D27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3DBDBF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D03B53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A1E152" w14:textId="73936D00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04</w:t>
            </w:r>
          </w:p>
          <w:p w14:paraId="7F16F23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4C5EDC" w14:textId="65C835AB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3361F185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A36A8ED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129325C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7D3E50D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40BCC4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91C7A3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B81EE70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154B71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54E3B1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3336D9" w14:textId="77777777" w:rsidR="00F267F7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3CACF7" w14:textId="5A3C23C7" w:rsidR="0060478C" w:rsidRDefault="00F267F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  <w:p w14:paraId="7BA230CA" w14:textId="77777777" w:rsidR="0060478C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67665C" w14:textId="2AF106E4" w:rsidR="0060478C" w:rsidRPr="000E1C5B" w:rsidRDefault="0060478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5943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Alcance</w:t>
            </w:r>
          </w:p>
          <w:p w14:paraId="624F67FE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677EB23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2B3F74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C7B0E62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Definición</w:t>
            </w:r>
          </w:p>
          <w:p w14:paraId="66E85DE1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96046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D37977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BA87994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0765B7" w14:textId="31E790BD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Acción 01</w:t>
            </w:r>
          </w:p>
          <w:p w14:paraId="49AF66CB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A3DDA7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BFD3EB" w14:textId="77777777" w:rsidR="00B56496" w:rsidRPr="000E1C5B" w:rsidRDefault="00B5649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31D3B6" w14:textId="4EC09C94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</w:t>
            </w:r>
            <w:proofErr w:type="gramStart"/>
            <w:r w:rsidRPr="000E1C5B">
              <w:rPr>
                <w:rFonts w:ascii="Century Gothic" w:eastAsia="Century Gothic" w:hAnsi="Century Gothic" w:cs="Century Gothic"/>
              </w:rPr>
              <w:t>01  Acción</w:t>
            </w:r>
            <w:proofErr w:type="gramEnd"/>
            <w:r w:rsidRPr="000E1C5B">
              <w:rPr>
                <w:rFonts w:ascii="Century Gothic" w:eastAsia="Century Gothic" w:hAnsi="Century Gothic" w:cs="Century Gothic"/>
              </w:rPr>
              <w:t xml:space="preserve"> 02  Acción 03  Acción 04  Acción   </w:t>
            </w:r>
            <w:r w:rsidR="0060478C">
              <w:rPr>
                <w:rFonts w:ascii="Century Gothic" w:eastAsia="Century Gothic" w:hAnsi="Century Gothic" w:cs="Century Gothic"/>
              </w:rPr>
              <w:t xml:space="preserve">   </w:t>
            </w:r>
            <w:r w:rsidRPr="000E1C5B">
              <w:rPr>
                <w:rFonts w:ascii="Century Gothic" w:eastAsia="Century Gothic" w:hAnsi="Century Gothic" w:cs="Century Gothic"/>
              </w:rPr>
              <w:t>05</w:t>
            </w:r>
          </w:p>
          <w:p w14:paraId="0E93B1FB" w14:textId="175F26B3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 </w:t>
            </w:r>
            <w:r w:rsidR="0060478C">
              <w:rPr>
                <w:rFonts w:ascii="Century Gothic" w:eastAsia="Century Gothic" w:hAnsi="Century Gothic" w:cs="Century Gothic"/>
              </w:rPr>
              <w:t xml:space="preserve">  </w:t>
            </w:r>
            <w:r w:rsidRPr="000E1C5B">
              <w:rPr>
                <w:rFonts w:ascii="Century Gothic" w:eastAsia="Century Gothic" w:hAnsi="Century Gothic" w:cs="Century Gothic"/>
              </w:rPr>
              <w:t xml:space="preserve"> 06 </w:t>
            </w:r>
          </w:p>
          <w:p w14:paraId="3DE0B578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BE4135" w14:textId="11FC6A7A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</w:t>
            </w:r>
            <w:proofErr w:type="gramStart"/>
            <w:r w:rsidRPr="000E1C5B">
              <w:rPr>
                <w:rFonts w:ascii="Century Gothic" w:eastAsia="Century Gothic" w:hAnsi="Century Gothic" w:cs="Century Gothic"/>
              </w:rPr>
              <w:t>07  Acción</w:t>
            </w:r>
            <w:proofErr w:type="gramEnd"/>
            <w:r w:rsidRPr="000E1C5B">
              <w:rPr>
                <w:rFonts w:ascii="Century Gothic" w:eastAsia="Century Gothic" w:hAnsi="Century Gothic" w:cs="Century Gothic"/>
              </w:rPr>
              <w:t xml:space="preserve"> 08  Acción 09  Acción </w:t>
            </w:r>
            <w:r w:rsidR="0060478C">
              <w:rPr>
                <w:rFonts w:ascii="Century Gothic" w:eastAsia="Century Gothic" w:hAnsi="Century Gothic" w:cs="Century Gothic"/>
              </w:rPr>
              <w:t xml:space="preserve">      </w:t>
            </w:r>
            <w:r w:rsidRPr="000E1C5B">
              <w:rPr>
                <w:rFonts w:ascii="Century Gothic" w:eastAsia="Century Gothic" w:hAnsi="Century Gothic" w:cs="Century Gothic"/>
              </w:rPr>
              <w:t>10</w:t>
            </w:r>
          </w:p>
          <w:p w14:paraId="25FC8013" w14:textId="77777777" w:rsidR="00D242C4" w:rsidRPr="000E1C5B" w:rsidRDefault="00D242C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A93B6E1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09</w:t>
            </w:r>
          </w:p>
          <w:p w14:paraId="2BDAFAA7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2B2044B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79F0E6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09</w:t>
            </w:r>
          </w:p>
          <w:p w14:paraId="3B3050F8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ECE181" w14:textId="77777777" w:rsidR="00D242C4" w:rsidRPr="000E1C5B" w:rsidRDefault="00D242C4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094D47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Acciones 07 – 08 – 09 – 10</w:t>
            </w:r>
          </w:p>
          <w:p w14:paraId="7DC19BF5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5351C03" w14:textId="77777777" w:rsidR="00077029" w:rsidRDefault="00077029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82F0FF" w14:textId="7FE87DF5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05</w:t>
            </w:r>
          </w:p>
          <w:p w14:paraId="75417D43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A7A220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01C5083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466DEF" w14:textId="77777777" w:rsidR="0060478C" w:rsidRDefault="0060478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3CCE861" w14:textId="528F8DF9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10</w:t>
            </w:r>
          </w:p>
          <w:p w14:paraId="1CAA9D1E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3CFCB2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D3FFF39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EB46EC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E99C6E" w14:textId="77777777" w:rsidR="00575145" w:rsidRPr="000E1C5B" w:rsidRDefault="00575145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Responsables</w:t>
            </w:r>
          </w:p>
          <w:p w14:paraId="4712879E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25A237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149565C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5A7EF46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D6F08C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86B8EDC" w14:textId="76934BFC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Definiciones</w:t>
            </w:r>
          </w:p>
          <w:p w14:paraId="146D57C6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9CF35C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</w:t>
            </w:r>
          </w:p>
          <w:p w14:paraId="166814B7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D4746A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292752" w14:textId="77777777" w:rsidR="00700F32" w:rsidRPr="000E1C5B" w:rsidRDefault="00700F32" w:rsidP="00700F3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2</w:t>
            </w:r>
          </w:p>
          <w:p w14:paraId="1ED4F78A" w14:textId="77777777" w:rsidR="00700F32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F6FFC4C" w14:textId="77777777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88B222" w14:textId="77777777" w:rsidR="00F267F7" w:rsidRDefault="00F267F7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F87B3F" w14:textId="7667071C" w:rsidR="004D21E8" w:rsidRPr="000E1C5B" w:rsidRDefault="00700F32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Acción 10</w:t>
            </w:r>
          </w:p>
          <w:p w14:paraId="0D8B22A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8C4B4F8" w14:textId="77777777" w:rsidR="00A95486" w:rsidRPr="000E1C5B" w:rsidRDefault="00A9548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D7F9D7" w14:textId="77777777" w:rsidR="00FB71E4" w:rsidRPr="000E1C5B" w:rsidRDefault="00FB71E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CE9E9A" w14:textId="3EC43A94" w:rsidR="00FB71E4" w:rsidRPr="000E1C5B" w:rsidRDefault="00FB71E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Acción </w:t>
            </w:r>
            <w:proofErr w:type="gramStart"/>
            <w:r w:rsidRPr="000E1C5B">
              <w:rPr>
                <w:rFonts w:ascii="Century Gothic" w:eastAsia="Century Gothic" w:hAnsi="Century Gothic" w:cs="Century Gothic"/>
              </w:rPr>
              <w:t>07  Acción</w:t>
            </w:r>
            <w:proofErr w:type="gramEnd"/>
            <w:r w:rsidRPr="000E1C5B">
              <w:rPr>
                <w:rFonts w:ascii="Century Gothic" w:eastAsia="Century Gothic" w:hAnsi="Century Gothic" w:cs="Century Gothic"/>
              </w:rPr>
              <w:t xml:space="preserve"> 08  Acción 09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CFE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Se incorpora la gestión comercial de posgrados, teniendo en cuenta las necesidades institucionales.</w:t>
            </w:r>
          </w:p>
          <w:p w14:paraId="2B823267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3126D41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describe el mercado objetivo de los programas académicos de posgrados.</w:t>
            </w:r>
          </w:p>
          <w:p w14:paraId="1AE11CCD" w14:textId="77777777" w:rsidR="000E1C5B" w:rsidRDefault="000E1C5B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E2DA50D" w14:textId="267CC011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Se incorpora como medio de verificación el Formato GME – F – 20 “Cronograma de visita para promoción de posgrados”</w:t>
            </w:r>
          </w:p>
          <w:p w14:paraId="2FFFB746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0C7FF8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por responsable de las acciones del procedimiento a la Unidad de Inteligencia Competitiva.</w:t>
            </w:r>
          </w:p>
          <w:p w14:paraId="6B2420D5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B5A9C5F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61FC22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5DD4CAD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8A23118" w14:textId="0C6C5C44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responsable en el procedimiento a los cargos relacionados con Auxiliar de Mercadeo.</w:t>
            </w:r>
          </w:p>
          <w:p w14:paraId="6145AA46" w14:textId="77777777" w:rsidR="00A95486" w:rsidRPr="000E1C5B" w:rsidRDefault="00A95486" w:rsidP="00A9548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458833" w14:textId="77777777" w:rsidR="00B56496" w:rsidRPr="000E1C5B" w:rsidRDefault="00B5649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180C1F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unifica con la acción 10 para no generar reprocesos.</w:t>
            </w:r>
          </w:p>
          <w:p w14:paraId="25B99F28" w14:textId="77777777" w:rsidR="00D242C4" w:rsidRPr="000E1C5B" w:rsidRDefault="00D242C4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1B94B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evidencia el formulario de inscripción</w:t>
            </w:r>
          </w:p>
          <w:p w14:paraId="28B722D4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1BC5D93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incorpora como responsable al Asistente de Mercadeo por hacer parte de sus nuevas funciones.</w:t>
            </w:r>
          </w:p>
          <w:p w14:paraId="200EC586" w14:textId="77777777" w:rsidR="00D242C4" w:rsidRPr="000E1C5B" w:rsidRDefault="00D242C4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BA3CEC8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relaciona como evidencia adicional la encuesta con la información recolectada de los interesados en los programas académicos.</w:t>
            </w:r>
          </w:p>
          <w:p w14:paraId="57DC5B34" w14:textId="77777777" w:rsidR="005E3B4C" w:rsidRPr="000E1C5B" w:rsidRDefault="005E3B4C" w:rsidP="00D242C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0151E35" w14:textId="77777777" w:rsidR="005E3B4C" w:rsidRPr="000E1C5B" w:rsidRDefault="005E3B4C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agrega una nueva acción dentro del procedimiento que permite evaluar la gestión de las inscripciones frente al período anterior a través del </w:t>
            </w:r>
            <w:proofErr w:type="gramStart"/>
            <w:r w:rsidRPr="000E1C5B">
              <w:rPr>
                <w:rFonts w:ascii="Century Gothic" w:eastAsia="Century Gothic" w:hAnsi="Century Gothic" w:cs="Century Gothic"/>
              </w:rPr>
              <w:t>formato  GME</w:t>
            </w:r>
            <w:proofErr w:type="gramEnd"/>
            <w:r w:rsidRPr="000E1C5B">
              <w:rPr>
                <w:rFonts w:ascii="Century Gothic" w:eastAsia="Century Gothic" w:hAnsi="Century Gothic" w:cs="Century Gothic"/>
              </w:rPr>
              <w:t xml:space="preserve"> – F -21</w:t>
            </w:r>
          </w:p>
          <w:p w14:paraId="7A8304C7" w14:textId="77777777" w:rsidR="00575145" w:rsidRPr="000E1C5B" w:rsidRDefault="00575145" w:rsidP="005E3B4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9BCFB8" w14:textId="77777777" w:rsidR="00575145" w:rsidRPr="000E1C5B" w:rsidRDefault="00575145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Cambia la denominación de la Unidad y del responsable del Proceso a Coordinador de Mercadeo y Comunicaciones teniendo en cuenta el acuerdo 73 del Consejo de Rectoría del 18 de diciembre de 2018</w:t>
            </w:r>
          </w:p>
          <w:p w14:paraId="3A9327AF" w14:textId="77777777" w:rsidR="004D21E8" w:rsidRPr="000E1C5B" w:rsidRDefault="004D21E8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4BEFD7D" w14:textId="2A4F35D2" w:rsidR="004D21E8" w:rsidRPr="000E1C5B" w:rsidRDefault="004D21E8" w:rsidP="004D21E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lastRenderedPageBreak/>
              <w:t>Definición Participación en eventos.</w:t>
            </w:r>
          </w:p>
          <w:p w14:paraId="7F1C1E2F" w14:textId="77777777" w:rsidR="004D21E8" w:rsidRPr="000E1C5B" w:rsidRDefault="004D21E8" w:rsidP="0057514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7D9664C" w14:textId="2F41BBD4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>Se elimina el Cronograma de visitas Promoción de Posgrados GME – F – 20</w:t>
            </w:r>
          </w:p>
          <w:p w14:paraId="18104558" w14:textId="77777777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190350" w14:textId="703E7FC6" w:rsidR="004D21E8" w:rsidRPr="000E1C5B" w:rsidRDefault="004D21E8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como responsable el Analista Mercadeo. y se elimina el Cronograma de visitas Promoción de Posgrados GME – F </w:t>
            </w:r>
            <w:r w:rsidR="00700F32" w:rsidRPr="000E1C5B">
              <w:rPr>
                <w:rFonts w:ascii="Century Gothic" w:eastAsia="Century Gothic" w:hAnsi="Century Gothic" w:cs="Century Gothic"/>
              </w:rPr>
              <w:t>–</w:t>
            </w:r>
            <w:r w:rsidRPr="000E1C5B">
              <w:rPr>
                <w:rFonts w:ascii="Century Gothic" w:eastAsia="Century Gothic" w:hAnsi="Century Gothic" w:cs="Century Gothic"/>
              </w:rPr>
              <w:t xml:space="preserve"> 20</w:t>
            </w:r>
          </w:p>
          <w:p w14:paraId="7E59C0EF" w14:textId="77777777" w:rsidR="00700F32" w:rsidRPr="000E1C5B" w:rsidRDefault="00700F32" w:rsidP="004D21E8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DF827D" w14:textId="6D2C4DCE" w:rsidR="00700F32" w:rsidRPr="000E1C5B" w:rsidRDefault="00700F32" w:rsidP="00700F3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Cuadro comparativo GME – F -21 y se integra con el Plan Estratégico de Marketing GME - F </w:t>
            </w:r>
            <w:r w:rsidR="000B4347" w:rsidRPr="000E1C5B">
              <w:rPr>
                <w:rFonts w:ascii="Century Gothic" w:eastAsia="Century Gothic" w:hAnsi="Century Gothic" w:cs="Century Gothic"/>
              </w:rPr>
              <w:t>–</w:t>
            </w:r>
            <w:r w:rsidRPr="000E1C5B">
              <w:rPr>
                <w:rFonts w:ascii="Century Gothic" w:eastAsia="Century Gothic" w:hAnsi="Century Gothic" w:cs="Century Gothic"/>
              </w:rPr>
              <w:t xml:space="preserve"> 2</w:t>
            </w:r>
          </w:p>
          <w:p w14:paraId="4EF21A2B" w14:textId="77777777" w:rsidR="000B4347" w:rsidRPr="000E1C5B" w:rsidRDefault="000B4347" w:rsidP="00700F3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A76937" w14:textId="627D6F67" w:rsidR="00D242C4" w:rsidRPr="000E1C5B" w:rsidRDefault="000B4347" w:rsidP="00027F7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0E1C5B">
              <w:rPr>
                <w:rFonts w:ascii="Century Gothic" w:eastAsia="Century Gothic" w:hAnsi="Century Gothic" w:cs="Century Gothic"/>
              </w:rPr>
              <w:t xml:space="preserve">Se elimina el formato GME-F-6 por </w:t>
            </w:r>
            <w:r w:rsidR="00FB71E4" w:rsidRPr="000E1C5B">
              <w:rPr>
                <w:rFonts w:ascii="Century Gothic" w:eastAsia="Century Gothic" w:hAnsi="Century Gothic" w:cs="Century Gothic"/>
              </w:rPr>
              <w:t>iniciar con plataforma de CRM</w:t>
            </w:r>
          </w:p>
        </w:tc>
      </w:tr>
    </w:tbl>
    <w:p w14:paraId="1FB2076C" w14:textId="77777777" w:rsidR="00B56496" w:rsidRDefault="00B56496" w:rsidP="00B56496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sectPr w:rsidR="00B56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C76" w14:textId="77777777" w:rsidR="00C24F46" w:rsidRDefault="00C24F46">
      <w:pPr>
        <w:spacing w:line="240" w:lineRule="auto"/>
        <w:ind w:left="0" w:hanging="2"/>
      </w:pPr>
      <w:r>
        <w:separator/>
      </w:r>
    </w:p>
  </w:endnote>
  <w:endnote w:type="continuationSeparator" w:id="0">
    <w:p w14:paraId="369C3B03" w14:textId="77777777" w:rsidR="00C24F46" w:rsidRDefault="00C24F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51D" w14:textId="77777777" w:rsidR="00D23E22" w:rsidRDefault="00D23E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1E6" w14:textId="77777777" w:rsidR="00D23E22" w:rsidRDefault="00D23E2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47C7" w14:textId="77777777" w:rsidR="00D23E22" w:rsidRDefault="00D23E2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3380" w14:textId="77777777" w:rsidR="00C24F46" w:rsidRDefault="00C24F46">
      <w:pPr>
        <w:spacing w:line="240" w:lineRule="auto"/>
        <w:ind w:left="0" w:hanging="2"/>
      </w:pPr>
      <w:r>
        <w:separator/>
      </w:r>
    </w:p>
  </w:footnote>
  <w:footnote w:type="continuationSeparator" w:id="0">
    <w:p w14:paraId="04324686" w14:textId="77777777" w:rsidR="00C24F46" w:rsidRDefault="00C24F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6EB4" w14:textId="77777777" w:rsidR="00D23E22" w:rsidRDefault="00D23E2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6294" w14:textId="77777777" w:rsidR="00396DAC" w:rsidRDefault="00396D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8A670F" w14:paraId="0BA3947B" w14:textId="77777777" w:rsidTr="009A182E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1EFBCD" w14:textId="7256CAB0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27DBF42" wp14:editId="6A91B196">
                <wp:extent cx="1522095" cy="718820"/>
                <wp:effectExtent l="0" t="0" r="190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18AEC37D" w14:textId="77777777" w:rsidR="008A670F" w:rsidRDefault="008A670F" w:rsidP="008A670F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8E5EFE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DEDBD1" w14:textId="6D0D608B" w:rsidR="008A670F" w:rsidRPr="009A182E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A182E">
            <w:rPr>
              <w:rFonts w:ascii="Century Gothic" w:eastAsia="Century Gothic" w:hAnsi="Century Gothic" w:cs="Century Gothic"/>
              <w:color w:val="000000"/>
            </w:rPr>
            <w:t>GME-P-</w:t>
          </w:r>
          <w:r w:rsidR="009A182E" w:rsidRPr="009A182E">
            <w:rPr>
              <w:rFonts w:ascii="Century Gothic" w:eastAsia="Century Gothic" w:hAnsi="Century Gothic" w:cs="Century Gothic"/>
              <w:color w:val="000000"/>
            </w:rPr>
            <w:t>4</w:t>
          </w:r>
        </w:p>
      </w:tc>
    </w:tr>
    <w:tr w:rsidR="008A670F" w14:paraId="12303F45" w14:textId="77777777" w:rsidTr="009A182E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83E4F7" w14:textId="77777777" w:rsidR="008A670F" w:rsidRDefault="008A670F" w:rsidP="008A670F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F386A2" w14:textId="48746F8F" w:rsidR="008A670F" w:rsidRDefault="008A670F" w:rsidP="008A670F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LA GESTIÓN COMERCIAL DE LOS PROGRAMAS ACADÉMICOS.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80E9D2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96BF28" w14:textId="5B7D6F5D" w:rsidR="008A670F" w:rsidRPr="009A182E" w:rsidRDefault="00F267F7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5</w:t>
          </w:r>
        </w:p>
      </w:tc>
    </w:tr>
    <w:tr w:rsidR="008A670F" w14:paraId="4DF4472A" w14:textId="77777777" w:rsidTr="009A182E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F7F675" w14:textId="77777777" w:rsidR="008A670F" w:rsidRDefault="008A670F" w:rsidP="008A670F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B6CFC7" w14:textId="77777777" w:rsidR="008A670F" w:rsidRDefault="008A670F" w:rsidP="008A670F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4DE6FF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A3BF72" w14:textId="77777777" w:rsidR="008A670F" w:rsidRDefault="008A670F" w:rsidP="008A670F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6D057ED" w14:textId="77777777" w:rsidR="00D23E22" w:rsidRDefault="00D23E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E2B" w14:textId="77777777" w:rsidR="00D23E22" w:rsidRDefault="00D23E2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0636"/>
    <w:multiLevelType w:val="multilevel"/>
    <w:tmpl w:val="F06E3E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545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C"/>
    <w:rsid w:val="00027F73"/>
    <w:rsid w:val="00077029"/>
    <w:rsid w:val="000B4347"/>
    <w:rsid w:val="000E1C5B"/>
    <w:rsid w:val="00144024"/>
    <w:rsid w:val="0014653E"/>
    <w:rsid w:val="00164CBF"/>
    <w:rsid w:val="00260785"/>
    <w:rsid w:val="002A283A"/>
    <w:rsid w:val="0032569F"/>
    <w:rsid w:val="00341334"/>
    <w:rsid w:val="003820C8"/>
    <w:rsid w:val="00396DAC"/>
    <w:rsid w:val="0041773F"/>
    <w:rsid w:val="004D21E8"/>
    <w:rsid w:val="004D44E4"/>
    <w:rsid w:val="00575145"/>
    <w:rsid w:val="005E3B4C"/>
    <w:rsid w:val="0060478C"/>
    <w:rsid w:val="00700F32"/>
    <w:rsid w:val="008A670F"/>
    <w:rsid w:val="009A182E"/>
    <w:rsid w:val="009B7C99"/>
    <w:rsid w:val="00A41775"/>
    <w:rsid w:val="00A95486"/>
    <w:rsid w:val="00B56496"/>
    <w:rsid w:val="00C24F46"/>
    <w:rsid w:val="00C25362"/>
    <w:rsid w:val="00D23E22"/>
    <w:rsid w:val="00D242C4"/>
    <w:rsid w:val="00DB46BE"/>
    <w:rsid w:val="00F267F7"/>
    <w:rsid w:val="00F8725F"/>
    <w:rsid w:val="00FB71E4"/>
    <w:rsid w:val="6489D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1AA"/>
  <w15:docId w15:val="{E9E321AF-357A-41ED-9496-5BCF576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z3nv2fsiPLI6I1PIPzOAzwCJg==">AMUW2mV8nR3XLJWbRf7ESJbaoJn7/zBu/+VXBWYYRHNaelRlrkbxkOj6FEXEDWWYI196qNZnA2zW1KKMh799WIIX10nfjIyt0cR/9HnsB5trlf7MCHsscsE=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67DE-CB5F-40F1-A037-53B28F2123FE}">
  <ds:schemaRefs>
    <ds:schemaRef ds:uri="http://purl.org/dc/dcmitype/"/>
    <ds:schemaRef ds:uri="http://purl.org/dc/elements/1.1/"/>
    <ds:schemaRef ds:uri="http://schemas.openxmlformats.org/package/2006/metadata/core-properties"/>
    <ds:schemaRef ds:uri="e505c784-7893-4968-be1e-11c1725e606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a829ebf-0723-4b60-a111-475913ee10a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86E8EA-20F4-4278-A401-3F0973A1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62C9E-409D-4334-8440-D719FDB19C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B38DEB-9C5D-49C8-B9B5-8925CEF1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1099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34</cp:revision>
  <dcterms:created xsi:type="dcterms:W3CDTF">2014-11-20T14:31:00Z</dcterms:created>
  <dcterms:modified xsi:type="dcterms:W3CDTF">2022-08-16T15:49:00Z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