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537" w:rsidRDefault="00D17537">
      <w:pPr>
        <w:widowControl w:val="0"/>
        <w:pBdr>
          <w:top w:val="nil"/>
          <w:left w:val="nil"/>
          <w:bottom w:val="nil"/>
          <w:right w:val="nil"/>
          <w:between w:val="nil"/>
        </w:pBdr>
        <w:spacing w:after="0"/>
        <w:rPr>
          <w:rFonts w:ascii="Arial" w:eastAsia="Arial" w:hAnsi="Arial" w:cs="Arial"/>
          <w:color w:val="000000"/>
        </w:rPr>
      </w:pPr>
    </w:p>
    <w:tbl>
      <w:tblPr>
        <w:tblStyle w:val="a6"/>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D17537">
        <w:trPr>
          <w:trHeight w:val="426"/>
          <w:jc w:val="center"/>
        </w:trPr>
        <w:tc>
          <w:tcPr>
            <w:tcW w:w="1838"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227" w:type="dxa"/>
            <w:shd w:val="clear" w:color="auto" w:fill="auto"/>
            <w:vAlign w:val="center"/>
          </w:tcPr>
          <w:p w:rsidR="00D17537" w:rsidRDefault="004D381A">
            <w:pPr>
              <w:jc w:val="both"/>
              <w:rPr>
                <w:rFonts w:ascii="Century Gothic" w:eastAsia="Century Gothic" w:hAnsi="Century Gothic" w:cs="Century Gothic"/>
                <w:shd w:val="clear" w:color="auto" w:fill="FFE599"/>
              </w:rPr>
            </w:pPr>
            <w:r>
              <w:rPr>
                <w:rFonts w:ascii="Century Gothic" w:eastAsia="Century Gothic" w:hAnsi="Century Gothic" w:cs="Century Gothic"/>
              </w:rPr>
              <w:t>Implementar criterios de sostenibilidad en la compra de bienes y servicios institucionales.</w:t>
            </w:r>
          </w:p>
        </w:tc>
      </w:tr>
    </w:tbl>
    <w:p w:rsidR="00D17537" w:rsidRDefault="00D17537">
      <w:pPr>
        <w:spacing w:after="0"/>
        <w:rPr>
          <w:rFonts w:ascii="Century Gothic" w:eastAsia="Century Gothic" w:hAnsi="Century Gothic" w:cs="Century Gothic"/>
          <w:b/>
        </w:rPr>
      </w:pPr>
    </w:p>
    <w:tbl>
      <w:tblPr>
        <w:tblStyle w:val="a7"/>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D17537">
        <w:trPr>
          <w:jc w:val="center"/>
        </w:trPr>
        <w:tc>
          <w:tcPr>
            <w:tcW w:w="1838"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ALCANCE</w:t>
            </w:r>
          </w:p>
        </w:tc>
        <w:tc>
          <w:tcPr>
            <w:tcW w:w="8227" w:type="dxa"/>
            <w:shd w:val="clear" w:color="auto" w:fill="auto"/>
          </w:tcPr>
          <w:p w:rsidR="00D17537" w:rsidRDefault="004D381A">
            <w:pPr>
              <w:jc w:val="both"/>
              <w:rPr>
                <w:rFonts w:ascii="Century Gothic" w:eastAsia="Century Gothic" w:hAnsi="Century Gothic" w:cs="Century Gothic"/>
                <w:shd w:val="clear" w:color="auto" w:fill="FCE5CD"/>
              </w:rPr>
            </w:pPr>
            <w:r>
              <w:rPr>
                <w:rFonts w:ascii="Century Gothic" w:eastAsia="Century Gothic" w:hAnsi="Century Gothic" w:cs="Century Gothic"/>
              </w:rPr>
              <w:t>Este procedimiento inicia con identificación de la necesidad de adquirir un bien o servicio, incluye la priorización de estos de acuerdo con la metodología de compras sostenibles y la implementación de criterios de sostenibilidad.  Finaliza con la evaluaci</w:t>
            </w:r>
            <w:r>
              <w:rPr>
                <w:rFonts w:ascii="Century Gothic" w:eastAsia="Century Gothic" w:hAnsi="Century Gothic" w:cs="Century Gothic"/>
              </w:rPr>
              <w:t xml:space="preserve">ón de la implementación de </w:t>
            </w:r>
            <w:proofErr w:type="gramStart"/>
            <w:r>
              <w:rPr>
                <w:rFonts w:ascii="Century Gothic" w:eastAsia="Century Gothic" w:hAnsi="Century Gothic" w:cs="Century Gothic"/>
              </w:rPr>
              <w:t>los  criterios</w:t>
            </w:r>
            <w:proofErr w:type="gramEnd"/>
            <w:r>
              <w:rPr>
                <w:rFonts w:ascii="Century Gothic" w:eastAsia="Century Gothic" w:hAnsi="Century Gothic" w:cs="Century Gothic"/>
              </w:rPr>
              <w:t xml:space="preserve"> de sostenibilidad en las compras institucionales.</w:t>
            </w:r>
          </w:p>
        </w:tc>
      </w:tr>
    </w:tbl>
    <w:p w:rsidR="00D17537" w:rsidRDefault="00D17537">
      <w:pPr>
        <w:spacing w:after="0"/>
        <w:jc w:val="center"/>
        <w:rPr>
          <w:rFonts w:ascii="Century Gothic" w:eastAsia="Century Gothic" w:hAnsi="Century Gothic" w:cs="Century Gothic"/>
          <w:b/>
        </w:rPr>
      </w:pPr>
    </w:p>
    <w:tbl>
      <w:tblPr>
        <w:tblStyle w:val="a8"/>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227"/>
      </w:tblGrid>
      <w:tr w:rsidR="00D17537">
        <w:trPr>
          <w:jc w:val="center"/>
        </w:trPr>
        <w:tc>
          <w:tcPr>
            <w:tcW w:w="1838" w:type="dxa"/>
            <w:shd w:val="clear" w:color="auto" w:fill="D9D9D9"/>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227" w:type="dxa"/>
            <w:shd w:val="clear" w:color="auto" w:fill="auto"/>
          </w:tcPr>
          <w:p w:rsidR="00D17537" w:rsidRDefault="004D381A">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Compra sostenible: </w:t>
            </w:r>
            <w:r>
              <w:rPr>
                <w:rFonts w:ascii="Century Gothic" w:eastAsia="Century Gothic" w:hAnsi="Century Gothic" w:cs="Century Gothic"/>
              </w:rPr>
              <w:t>es la satisfacción de las necesidades mediante la adquisición de bienes y servicios con criterios que consideren aspectos ambientales, mediante la utilización eficiente de recursos naturales a lo largo de su ciclo de vida; aspectos económicos que se ajuste</w:t>
            </w:r>
            <w:r>
              <w:rPr>
                <w:rFonts w:ascii="Century Gothic" w:eastAsia="Century Gothic" w:hAnsi="Century Gothic" w:cs="Century Gothic"/>
              </w:rPr>
              <w:t>n a los principios de eficacia, eficiencia, oportunidad y transparencia; y aspectos sociales que consideren estándares establecidos en sus procesos de producción y/o suministro (Plan de Acción Nacional de Compras Públicas 2016- 2020).</w:t>
            </w:r>
          </w:p>
          <w:p w:rsidR="00D17537" w:rsidRDefault="00D17537">
            <w:pPr>
              <w:pBdr>
                <w:top w:val="nil"/>
                <w:left w:val="nil"/>
                <w:bottom w:val="nil"/>
                <w:right w:val="nil"/>
                <w:between w:val="nil"/>
              </w:pBdr>
              <w:jc w:val="both"/>
              <w:rPr>
                <w:rFonts w:ascii="Century Gothic" w:eastAsia="Century Gothic" w:hAnsi="Century Gothic" w:cs="Century Gothic"/>
              </w:rPr>
            </w:pPr>
          </w:p>
          <w:p w:rsidR="00D17537" w:rsidRDefault="004D381A">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Perspectiva de ciclo</w:t>
            </w:r>
            <w:r>
              <w:rPr>
                <w:rFonts w:ascii="Century Gothic" w:eastAsia="Century Gothic" w:hAnsi="Century Gothic" w:cs="Century Gothic"/>
                <w:b/>
              </w:rPr>
              <w:t xml:space="preserve"> de vida:</w:t>
            </w:r>
            <w:r>
              <w:rPr>
                <w:rFonts w:ascii="Century Gothic" w:eastAsia="Century Gothic" w:hAnsi="Century Gothic" w:cs="Century Gothic"/>
              </w:rPr>
              <w:t xml:space="preserve"> Se comprende como ciclo de vida de un producto o servicio el proceso que comprende la extracción de materiales, la generación de energía y la transformación de estos en bienes o servicios. Aplicar la perspectiva de ciclo de vida significa reconoc</w:t>
            </w:r>
            <w:r>
              <w:rPr>
                <w:rFonts w:ascii="Century Gothic" w:eastAsia="Century Gothic" w:hAnsi="Century Gothic" w:cs="Century Gothic"/>
              </w:rPr>
              <w:t>er los impactos ambientales de las decisiones de consumo y posconsumo, en este caso a nivel institucional.</w:t>
            </w:r>
          </w:p>
          <w:p w:rsidR="00D17537" w:rsidRDefault="00D17537">
            <w:pPr>
              <w:pBdr>
                <w:top w:val="nil"/>
                <w:left w:val="nil"/>
                <w:bottom w:val="nil"/>
                <w:right w:val="nil"/>
                <w:between w:val="nil"/>
              </w:pBdr>
              <w:jc w:val="both"/>
              <w:rPr>
                <w:rFonts w:ascii="Century Gothic" w:eastAsia="Century Gothic" w:hAnsi="Century Gothic" w:cs="Century Gothic"/>
              </w:rPr>
            </w:pPr>
          </w:p>
          <w:p w:rsidR="00D17537" w:rsidRDefault="004D381A">
            <w:p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b/>
              </w:rPr>
              <w:t xml:space="preserve">Criterio de sostenibilidad: </w:t>
            </w:r>
            <w:r>
              <w:rPr>
                <w:rFonts w:ascii="Century Gothic" w:eastAsia="Century Gothic" w:hAnsi="Century Gothic" w:cs="Century Gothic"/>
              </w:rPr>
              <w:t>requisitos que evitan o minimizan el impacto ambiental, económico y social de los productos o servicios a lo largo de su ciclo de vida.</w:t>
            </w:r>
          </w:p>
          <w:p w:rsidR="00D17537" w:rsidRDefault="00D17537">
            <w:pPr>
              <w:pBdr>
                <w:top w:val="nil"/>
                <w:left w:val="nil"/>
                <w:bottom w:val="nil"/>
                <w:right w:val="nil"/>
                <w:between w:val="nil"/>
              </w:pBdr>
              <w:jc w:val="both"/>
              <w:rPr>
                <w:rFonts w:ascii="Century Gothic" w:eastAsia="Century Gothic" w:hAnsi="Century Gothic" w:cs="Century Gothic"/>
                <w:b/>
              </w:rPr>
            </w:pPr>
          </w:p>
          <w:p w:rsidR="00D17537" w:rsidRDefault="004D381A">
            <w:pPr>
              <w:pBdr>
                <w:top w:val="nil"/>
                <w:left w:val="nil"/>
                <w:bottom w:val="nil"/>
                <w:right w:val="nil"/>
                <w:between w:val="nil"/>
              </w:pBdr>
              <w:jc w:val="both"/>
              <w:rPr>
                <w:rFonts w:ascii="Century Gothic" w:eastAsia="Century Gothic" w:hAnsi="Century Gothic" w:cs="Century Gothic"/>
                <w:color w:val="000000"/>
                <w:shd w:val="clear" w:color="auto" w:fill="FFF2CC"/>
              </w:rPr>
            </w:pPr>
            <w:r>
              <w:rPr>
                <w:rFonts w:ascii="Century Gothic" w:eastAsia="Century Gothic" w:hAnsi="Century Gothic" w:cs="Century Gothic"/>
                <w:b/>
              </w:rPr>
              <w:t xml:space="preserve">Bienes y servicios sostenibles: </w:t>
            </w:r>
            <w:r>
              <w:rPr>
                <w:rFonts w:ascii="Century Gothic" w:eastAsia="Century Gothic" w:hAnsi="Century Gothic" w:cs="Century Gothic"/>
              </w:rPr>
              <w:t>Un bien o servicio sostenible es aquel que utiliza de manera racional y eficiente los r</w:t>
            </w:r>
            <w:r>
              <w:rPr>
                <w:rFonts w:ascii="Century Gothic" w:eastAsia="Century Gothic" w:hAnsi="Century Gothic" w:cs="Century Gothic"/>
              </w:rPr>
              <w:t>ecursos naturales, humanos y económicos a lo largo de su ciclo de vida, generando así beneficios para el medio ambiente, la sociedad y la economía. Estos, por su naturaleza, presentación, costo e impacto ambiental generan beneficios para la sociedad, la ec</w:t>
            </w:r>
            <w:r>
              <w:rPr>
                <w:rFonts w:ascii="Century Gothic" w:eastAsia="Century Gothic" w:hAnsi="Century Gothic" w:cs="Century Gothic"/>
              </w:rPr>
              <w:t>onomía y el entorno mientras responde a las necesidades del usuario, quien obtiene el máximo provecho de éste, lo cual es consecuente con patrones de producción comprometidos con la disponibilidad de recursos para las generaciones futuras (Ministerio de Am</w:t>
            </w:r>
            <w:r>
              <w:rPr>
                <w:rFonts w:ascii="Century Gothic" w:eastAsia="Century Gothic" w:hAnsi="Century Gothic" w:cs="Century Gothic"/>
              </w:rPr>
              <w:t>biente y Desarrollo Sostenible, 2018).</w:t>
            </w:r>
          </w:p>
        </w:tc>
      </w:tr>
    </w:tbl>
    <w:p w:rsidR="00D17537" w:rsidRDefault="00D17537">
      <w:pPr>
        <w:spacing w:after="0"/>
        <w:rPr>
          <w:rFonts w:ascii="Century Gothic" w:eastAsia="Century Gothic" w:hAnsi="Century Gothic" w:cs="Century Gothic"/>
        </w:rPr>
      </w:pPr>
    </w:p>
    <w:tbl>
      <w:tblPr>
        <w:tblStyle w:val="a9"/>
        <w:tblW w:w="10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09"/>
        <w:gridCol w:w="4039"/>
        <w:gridCol w:w="2268"/>
        <w:gridCol w:w="2551"/>
      </w:tblGrid>
      <w:tr w:rsidR="00D17537">
        <w:trPr>
          <w:jc w:val="center"/>
        </w:trPr>
        <w:tc>
          <w:tcPr>
            <w:tcW w:w="10129" w:type="dxa"/>
            <w:gridSpan w:val="5"/>
            <w:shd w:val="clear" w:color="auto" w:fill="D9D9D9"/>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lastRenderedPageBreak/>
              <w:t xml:space="preserve">PROCEDIMIENTO </w:t>
            </w:r>
          </w:p>
        </w:tc>
      </w:tr>
      <w:tr w:rsidR="00D17537">
        <w:trPr>
          <w:jc w:val="center"/>
        </w:trPr>
        <w:tc>
          <w:tcPr>
            <w:tcW w:w="562"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N.º</w:t>
            </w:r>
          </w:p>
        </w:tc>
        <w:tc>
          <w:tcPr>
            <w:tcW w:w="709" w:type="dxa"/>
            <w:shd w:val="clear" w:color="auto" w:fill="D9D9D9"/>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PH</w:t>
            </w:r>
          </w:p>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VA</w:t>
            </w:r>
          </w:p>
        </w:tc>
        <w:tc>
          <w:tcPr>
            <w:tcW w:w="4039"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 xml:space="preserve">ACTIVIDAD / DESCRIPCIÓN </w:t>
            </w:r>
          </w:p>
        </w:tc>
        <w:tc>
          <w:tcPr>
            <w:tcW w:w="2268"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RESPONSABLE</w:t>
            </w:r>
          </w:p>
        </w:tc>
        <w:tc>
          <w:tcPr>
            <w:tcW w:w="2551" w:type="dxa"/>
            <w:shd w:val="clear" w:color="auto" w:fill="D9D9D9"/>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REGISTRO (MEDIO DE VERIFICACIÓN)</w:t>
            </w:r>
          </w:p>
        </w:tc>
      </w:tr>
      <w:tr w:rsidR="00D17537">
        <w:trPr>
          <w:trHeight w:val="70"/>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1</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P</w:t>
            </w:r>
          </w:p>
        </w:tc>
        <w:tc>
          <w:tcPr>
            <w:tcW w:w="4039" w:type="dxa"/>
            <w:vAlign w:val="center"/>
          </w:tcPr>
          <w:p w:rsidR="00D17537" w:rsidRDefault="004D381A">
            <w:pPr>
              <w:jc w:val="both"/>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Identificar la necesidad de comprar un bien o servicio y realizar la solicitud de compra.</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Descripción:</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Se debe realizar la identificación de la necesidad y la solicitud de compra según las actividades establecidas en el Procedimiento de compras – GAF-P-17 (No. 1 a la No. 4).</w:t>
            </w:r>
          </w:p>
        </w:tc>
        <w:tc>
          <w:tcPr>
            <w:tcW w:w="2268"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Secretaria del área o del proceso correspondiente</w:t>
            </w:r>
          </w:p>
          <w:p w:rsidR="00D17537" w:rsidRDefault="004D381A">
            <w:pPr>
              <w:jc w:val="center"/>
              <w:rPr>
                <w:rFonts w:ascii="Century Gothic" w:eastAsia="Century Gothic" w:hAnsi="Century Gothic" w:cs="Century Gothic"/>
              </w:rPr>
            </w:pPr>
            <w:r>
              <w:rPr>
                <w:rFonts w:ascii="Century Gothic" w:eastAsia="Century Gothic" w:hAnsi="Century Gothic" w:cs="Century Gothic"/>
              </w:rPr>
              <w:t>Líder del proceso</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Sistema Financi</w:t>
            </w:r>
            <w:r>
              <w:rPr>
                <w:rFonts w:ascii="Century Gothic" w:eastAsia="Century Gothic" w:hAnsi="Century Gothic" w:cs="Century Gothic"/>
              </w:rPr>
              <w:t>ero</w:t>
            </w:r>
          </w:p>
          <w:p w:rsidR="00D17537" w:rsidRDefault="004D381A">
            <w:pPr>
              <w:jc w:val="center"/>
              <w:rPr>
                <w:rFonts w:ascii="Century Gothic" w:eastAsia="Century Gothic" w:hAnsi="Century Gothic" w:cs="Century Gothic"/>
              </w:rPr>
            </w:pPr>
            <w:r>
              <w:rPr>
                <w:rFonts w:ascii="Century Gothic" w:eastAsia="Century Gothic" w:hAnsi="Century Gothic" w:cs="Century Gothic"/>
              </w:rPr>
              <w:t>Solicitud de pedido extemporáneos</w:t>
            </w:r>
          </w:p>
        </w:tc>
      </w:tr>
      <w:tr w:rsidR="00D17537">
        <w:trPr>
          <w:trHeight w:val="743"/>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2</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H</w:t>
            </w:r>
          </w:p>
        </w:tc>
        <w:tc>
          <w:tcPr>
            <w:tcW w:w="4039" w:type="dxa"/>
            <w:vAlign w:val="center"/>
          </w:tcPr>
          <w:p w:rsidR="00D17537" w:rsidRDefault="004D381A">
            <w:pPr>
              <w:jc w:val="both"/>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Priorizar bienes y servicios de acuerdo con la Guía de compras sostenibles.</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La priorización de bienes y servicios se realiza considerando las necesidades institucionales en cuanto a cantid</w:t>
            </w:r>
            <w:r>
              <w:rPr>
                <w:rFonts w:ascii="Century Gothic" w:eastAsia="Century Gothic" w:hAnsi="Century Gothic" w:cs="Century Gothic"/>
              </w:rPr>
              <w:t xml:space="preserve">ad requerida y frecuencia de uso. </w:t>
            </w:r>
          </w:p>
        </w:tc>
        <w:tc>
          <w:tcPr>
            <w:tcW w:w="2268" w:type="dxa"/>
            <w:vAlign w:val="center"/>
          </w:tcPr>
          <w:p w:rsidR="00D17537" w:rsidRDefault="004D381A">
            <w:pPr>
              <w:jc w:val="center"/>
              <w:rPr>
                <w:rFonts w:ascii="Century Gothic" w:eastAsia="Century Gothic" w:hAnsi="Century Gothic" w:cs="Century Gothic"/>
                <w:highlight w:val="yellow"/>
              </w:rPr>
            </w:pPr>
            <w:r>
              <w:rPr>
                <w:rFonts w:ascii="Century Gothic" w:eastAsia="Century Gothic" w:hAnsi="Century Gothic" w:cs="Century Gothic"/>
                <w:color w:val="000000"/>
              </w:rPr>
              <w:t>Equipo de Cultura y Gestión Ambiental</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Procedimiento de compras – GAF-P-17</w:t>
            </w:r>
          </w:p>
          <w:p w:rsidR="00D17537" w:rsidRDefault="00D17537">
            <w:pPr>
              <w:jc w:val="center"/>
              <w:rPr>
                <w:rFonts w:ascii="Century Gothic" w:eastAsia="Century Gothic" w:hAnsi="Century Gothic" w:cs="Century Gothic"/>
              </w:rPr>
            </w:pPr>
          </w:p>
          <w:p w:rsidR="00D17537" w:rsidRDefault="004D381A">
            <w:pPr>
              <w:jc w:val="center"/>
              <w:rPr>
                <w:rFonts w:ascii="Century Gothic" w:eastAsia="Century Gothic" w:hAnsi="Century Gothic" w:cs="Century Gothic"/>
              </w:rPr>
            </w:pPr>
            <w:r>
              <w:rPr>
                <w:rFonts w:ascii="Century Gothic" w:eastAsia="Century Gothic" w:hAnsi="Century Gothic" w:cs="Century Gothic"/>
              </w:rPr>
              <w:t>Guía de compras sostenibles</w:t>
            </w:r>
          </w:p>
        </w:tc>
      </w:tr>
      <w:tr w:rsidR="00D17537">
        <w:trPr>
          <w:trHeight w:val="630"/>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3</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H</w:t>
            </w:r>
          </w:p>
        </w:tc>
        <w:tc>
          <w:tcPr>
            <w:tcW w:w="4039" w:type="dxa"/>
            <w:vAlign w:val="center"/>
          </w:tcPr>
          <w:p w:rsidR="00D17537" w:rsidRDefault="004D381A">
            <w:pPr>
              <w:jc w:val="both"/>
              <w:rPr>
                <w:rFonts w:ascii="Century Gothic" w:eastAsia="Century Gothic" w:hAnsi="Century Gothic" w:cs="Century Gothic"/>
              </w:rPr>
            </w:pPr>
            <w:r>
              <w:rPr>
                <w:rFonts w:ascii="Century Gothic" w:eastAsia="Century Gothic" w:hAnsi="Century Gothic" w:cs="Century Gothic"/>
                <w:b/>
              </w:rPr>
              <w:t>Actividad:</w:t>
            </w:r>
            <w:r>
              <w:rPr>
                <w:rFonts w:ascii="Century Gothic" w:eastAsia="Century Gothic" w:hAnsi="Century Gothic" w:cs="Century Gothic"/>
              </w:rPr>
              <w:t xml:space="preserve">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Aplicar criterios de sostenibilidad.</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De acuerdo con las categorías del inventario de Almacén y suministros, se relacionan los diferentes bienes y servicios con criterios de sostenibilidad establecidos en la Guía de compras sostenibles.</w:t>
            </w:r>
          </w:p>
        </w:tc>
        <w:tc>
          <w:tcPr>
            <w:tcW w:w="2268" w:type="dxa"/>
            <w:vAlign w:val="center"/>
          </w:tcPr>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Equipo de cultura y gestión ambiental</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Guía de compras sostenibles</w:t>
            </w:r>
          </w:p>
          <w:p w:rsidR="00D17537" w:rsidRDefault="00D17537">
            <w:pPr>
              <w:rPr>
                <w:rFonts w:ascii="Century Gothic" w:eastAsia="Century Gothic" w:hAnsi="Century Gothic" w:cs="Century Gothic"/>
              </w:rPr>
            </w:pPr>
          </w:p>
        </w:tc>
      </w:tr>
      <w:tr w:rsidR="00D17537">
        <w:trPr>
          <w:trHeight w:val="772"/>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4</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H</w:t>
            </w:r>
          </w:p>
        </w:tc>
        <w:tc>
          <w:tcPr>
            <w:tcW w:w="4039" w:type="dxa"/>
            <w:vAlign w:val="center"/>
          </w:tcPr>
          <w:p w:rsidR="00D17537" w:rsidRDefault="004D381A">
            <w:pPr>
              <w:jc w:val="both"/>
              <w:rPr>
                <w:rFonts w:ascii="Century Gothic" w:eastAsia="Century Gothic" w:hAnsi="Century Gothic" w:cs="Century Gothic"/>
              </w:rPr>
            </w:pPr>
            <w:r>
              <w:rPr>
                <w:rFonts w:ascii="Century Gothic" w:eastAsia="Century Gothic" w:hAnsi="Century Gothic" w:cs="Century Gothic"/>
                <w:b/>
              </w:rPr>
              <w:t>Actividad:</w:t>
            </w:r>
            <w:r>
              <w:rPr>
                <w:rFonts w:ascii="Century Gothic" w:eastAsia="Century Gothic" w:hAnsi="Century Gothic" w:cs="Century Gothic"/>
              </w:rPr>
              <w:t xml:space="preserve">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Construir fichas de sostenibilidad de bienes y servicios priorizados.</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Descripción:</w:t>
            </w:r>
          </w:p>
          <w:p w:rsidR="00D17537" w:rsidRDefault="004D381A">
            <w:pPr>
              <w:jc w:val="both"/>
              <w:rPr>
                <w:rFonts w:ascii="Century Gothic" w:eastAsia="Century Gothic" w:hAnsi="Century Gothic" w:cs="Century Gothic"/>
                <w:b/>
              </w:rPr>
            </w:pPr>
            <w:r>
              <w:rPr>
                <w:rFonts w:ascii="Century Gothic" w:eastAsia="Century Gothic" w:hAnsi="Century Gothic" w:cs="Century Gothic"/>
              </w:rPr>
              <w:t>Teniendo en cuenta la aplicación de criterios de sostenibilidad a los bienes y servicios, se diligencia el formato de fichas de sostenibilidad.</w:t>
            </w:r>
          </w:p>
        </w:tc>
        <w:tc>
          <w:tcPr>
            <w:tcW w:w="2268" w:type="dxa"/>
            <w:vAlign w:val="center"/>
          </w:tcPr>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Guía de compras sostenibles</w:t>
            </w:r>
          </w:p>
          <w:p w:rsidR="00D17537" w:rsidRDefault="00D17537">
            <w:pPr>
              <w:jc w:val="center"/>
              <w:rPr>
                <w:rFonts w:ascii="Century Gothic" w:eastAsia="Century Gothic" w:hAnsi="Century Gothic" w:cs="Century Gothic"/>
              </w:rPr>
            </w:pPr>
          </w:p>
          <w:p w:rsidR="00D17537" w:rsidRDefault="004D381A">
            <w:pPr>
              <w:jc w:val="center"/>
              <w:rPr>
                <w:rFonts w:ascii="Century Gothic" w:eastAsia="Century Gothic" w:hAnsi="Century Gothic" w:cs="Century Gothic"/>
              </w:rPr>
            </w:pPr>
            <w:r>
              <w:rPr>
                <w:rFonts w:ascii="Century Gothic" w:eastAsia="Century Gothic" w:hAnsi="Century Gothic" w:cs="Century Gothic"/>
              </w:rPr>
              <w:t>Ficha de sostenibilidad</w:t>
            </w:r>
          </w:p>
        </w:tc>
      </w:tr>
      <w:tr w:rsidR="00D17537">
        <w:trPr>
          <w:trHeight w:val="2004"/>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lastRenderedPageBreak/>
              <w:t>5</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H</w:t>
            </w:r>
          </w:p>
        </w:tc>
        <w:tc>
          <w:tcPr>
            <w:tcW w:w="4039" w:type="dxa"/>
            <w:vAlign w:val="center"/>
          </w:tcPr>
          <w:p w:rsidR="00D17537" w:rsidRDefault="004D381A">
            <w:pPr>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rPr>
              <w:t>Revisar y verificar los proveedores.</w:t>
            </w:r>
          </w:p>
          <w:p w:rsidR="00D17537" w:rsidRDefault="004D381A">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Descripción:</w:t>
            </w:r>
          </w:p>
          <w:p w:rsidR="00D17537" w:rsidRDefault="004D381A">
            <w:pPr>
              <w:pBdr>
                <w:top w:val="nil"/>
                <w:left w:val="nil"/>
                <w:bottom w:val="nil"/>
                <w:right w:val="nil"/>
                <w:between w:val="nil"/>
              </w:pBdr>
              <w:jc w:val="both"/>
              <w:rPr>
                <w:color w:val="000000"/>
              </w:rPr>
            </w:pPr>
            <w:r>
              <w:rPr>
                <w:rFonts w:ascii="Century Gothic" w:eastAsia="Century Gothic" w:hAnsi="Century Gothic" w:cs="Century Gothic"/>
              </w:rPr>
              <w:t>Se revisa y verifica la base</w:t>
            </w:r>
            <w:r>
              <w:rPr>
                <w:rFonts w:ascii="Century Gothic" w:eastAsia="Century Gothic" w:hAnsi="Century Gothic" w:cs="Century Gothic"/>
                <w:color w:val="000000"/>
              </w:rPr>
              <w:t xml:space="preserve"> de datos de proveedores, verificando los criterios de sostenibilidad del bien o servicio a adquirir.</w:t>
            </w:r>
          </w:p>
        </w:tc>
        <w:tc>
          <w:tcPr>
            <w:tcW w:w="2268"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Asistente Financiero</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 xml:space="preserve">Base de datos de proveedores </w:t>
            </w:r>
          </w:p>
        </w:tc>
      </w:tr>
      <w:tr w:rsidR="00D17537">
        <w:trPr>
          <w:trHeight w:val="1339"/>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6</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H</w:t>
            </w:r>
          </w:p>
        </w:tc>
        <w:tc>
          <w:tcPr>
            <w:tcW w:w="4039" w:type="dxa"/>
            <w:vAlign w:val="center"/>
          </w:tcPr>
          <w:p w:rsidR="00D17537" w:rsidRDefault="004D381A">
            <w:pPr>
              <w:jc w:val="both"/>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jc w:val="both"/>
              <w:rPr>
                <w:rFonts w:ascii="Century Gothic" w:eastAsia="Century Gothic" w:hAnsi="Century Gothic" w:cs="Century Gothic"/>
                <w:b/>
              </w:rPr>
            </w:pPr>
            <w:r>
              <w:rPr>
                <w:rFonts w:ascii="Century Gothic" w:eastAsia="Century Gothic" w:hAnsi="Century Gothic" w:cs="Century Gothic"/>
              </w:rPr>
              <w:t>Identificar proveedores, realizar la solicitud de cotizaciones, ejecutar la compra y entregar el pedido.</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 xml:space="preserve">Continuar con el debido procedimiento de compras institucionales incluyendo las actividades de la No. 4 a la No. 10 del Procedimiento de </w:t>
            </w:r>
            <w:r>
              <w:rPr>
                <w:rFonts w:ascii="Century Gothic" w:eastAsia="Century Gothic" w:hAnsi="Century Gothic" w:cs="Century Gothic"/>
              </w:rPr>
              <w:t>compras GAF-P-17.</w:t>
            </w:r>
          </w:p>
        </w:tc>
        <w:tc>
          <w:tcPr>
            <w:tcW w:w="2268"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Gestor ambiental.</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GAF-P-17 Procedimiento de compras</w:t>
            </w:r>
          </w:p>
        </w:tc>
      </w:tr>
      <w:tr w:rsidR="00D17537">
        <w:trPr>
          <w:trHeight w:val="2004"/>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7</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V</w:t>
            </w:r>
          </w:p>
        </w:tc>
        <w:tc>
          <w:tcPr>
            <w:tcW w:w="4039" w:type="dxa"/>
            <w:vAlign w:val="center"/>
          </w:tcPr>
          <w:p w:rsidR="00D17537" w:rsidRDefault="004D381A">
            <w:pPr>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Evalua</w:t>
            </w:r>
            <w:r>
              <w:rPr>
                <w:rFonts w:ascii="Century Gothic" w:eastAsia="Century Gothic" w:hAnsi="Century Gothic" w:cs="Century Gothic"/>
              </w:rPr>
              <w:t>r</w:t>
            </w:r>
            <w:r>
              <w:rPr>
                <w:rFonts w:ascii="Century Gothic" w:eastAsia="Century Gothic" w:hAnsi="Century Gothic" w:cs="Century Gothic"/>
                <w:color w:val="000000"/>
              </w:rPr>
              <w:t xml:space="preserve"> proveedores de las compras ejecutadas.</w:t>
            </w:r>
          </w:p>
          <w:p w:rsidR="00D17537" w:rsidRDefault="004D381A">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Descripción: </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Una vez se realice la co</w:t>
            </w:r>
            <w:r>
              <w:rPr>
                <w:rFonts w:ascii="Century Gothic" w:eastAsia="Century Gothic" w:hAnsi="Century Gothic" w:cs="Century Gothic"/>
              </w:rPr>
              <w:t xml:space="preserve">mpra de un bien o servicio priorizado, posterior a la entrega del pedido, se evalúa al proveedor por medio del Formato de evaluación de proveedores con criterios de sostenibilidad. </w:t>
            </w:r>
          </w:p>
        </w:tc>
        <w:tc>
          <w:tcPr>
            <w:tcW w:w="2268" w:type="dxa"/>
            <w:vAlign w:val="center"/>
          </w:tcPr>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Jefe de almacén</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Formato de evaluación de proveedores con criterios de sost</w:t>
            </w:r>
            <w:r>
              <w:rPr>
                <w:rFonts w:ascii="Century Gothic" w:eastAsia="Century Gothic" w:hAnsi="Century Gothic" w:cs="Century Gothic"/>
              </w:rPr>
              <w:t>enibilidad</w:t>
            </w:r>
          </w:p>
        </w:tc>
      </w:tr>
      <w:tr w:rsidR="00D17537">
        <w:trPr>
          <w:trHeight w:val="2004"/>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8</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V</w:t>
            </w:r>
          </w:p>
        </w:tc>
        <w:tc>
          <w:tcPr>
            <w:tcW w:w="4039" w:type="dxa"/>
            <w:vAlign w:val="center"/>
          </w:tcPr>
          <w:p w:rsidR="00D17537" w:rsidRDefault="004D381A">
            <w:pPr>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rPr>
              <w:t>Consolidar</w:t>
            </w:r>
            <w:r>
              <w:rPr>
                <w:rFonts w:ascii="Century Gothic" w:eastAsia="Century Gothic" w:hAnsi="Century Gothic" w:cs="Century Gothic"/>
                <w:color w:val="000000"/>
              </w:rPr>
              <w:t xml:space="preserve"> evaluaciones de proveedores con criterios de sostenibilidad.</w:t>
            </w:r>
          </w:p>
          <w:p w:rsidR="00D17537" w:rsidRDefault="004D381A">
            <w:p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Descripción: </w:t>
            </w:r>
          </w:p>
          <w:p w:rsidR="00D17537" w:rsidRDefault="004D381A">
            <w:pPr>
              <w:jc w:val="both"/>
              <w:rPr>
                <w:rFonts w:ascii="Century Gothic" w:eastAsia="Century Gothic" w:hAnsi="Century Gothic" w:cs="Century Gothic"/>
                <w:b/>
              </w:rPr>
            </w:pPr>
            <w:r>
              <w:rPr>
                <w:rFonts w:ascii="Century Gothic" w:eastAsia="Century Gothic" w:hAnsi="Century Gothic" w:cs="Century Gothic"/>
              </w:rPr>
              <w:t>Anualmente</w:t>
            </w:r>
            <w:r>
              <w:rPr>
                <w:rFonts w:ascii="Century Gothic" w:eastAsia="Century Gothic" w:hAnsi="Century Gothic" w:cs="Century Gothic"/>
              </w:rPr>
              <w:t xml:space="preserve">, el gestor ambiental en articulación con el </w:t>
            </w:r>
            <w:proofErr w:type="gramStart"/>
            <w:r>
              <w:rPr>
                <w:rFonts w:ascii="Century Gothic" w:eastAsia="Century Gothic" w:hAnsi="Century Gothic" w:cs="Century Gothic"/>
              </w:rPr>
              <w:t>Jefe</w:t>
            </w:r>
            <w:proofErr w:type="gramEnd"/>
            <w:r>
              <w:rPr>
                <w:rFonts w:ascii="Century Gothic" w:eastAsia="Century Gothic" w:hAnsi="Century Gothic" w:cs="Century Gothic"/>
              </w:rPr>
              <w:t xml:space="preserve"> de almacén consolida los registros de las evaluaciones de proveedores con criterios de sostenibilidad. </w:t>
            </w:r>
          </w:p>
        </w:tc>
        <w:tc>
          <w:tcPr>
            <w:tcW w:w="2268" w:type="dxa"/>
            <w:vAlign w:val="center"/>
          </w:tcPr>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p w:rsidR="00D17537" w:rsidRDefault="00D17537">
            <w:pPr>
              <w:jc w:val="center"/>
              <w:rPr>
                <w:rFonts w:ascii="Century Gothic" w:eastAsia="Century Gothic" w:hAnsi="Century Gothic" w:cs="Century Gothic"/>
              </w:rPr>
            </w:pPr>
          </w:p>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Jefe de almacén </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SAIA</w:t>
            </w:r>
          </w:p>
        </w:tc>
      </w:tr>
      <w:tr w:rsidR="00D17537">
        <w:trPr>
          <w:trHeight w:val="2004"/>
          <w:jc w:val="center"/>
        </w:trPr>
        <w:tc>
          <w:tcPr>
            <w:tcW w:w="562"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lastRenderedPageBreak/>
              <w:t>9</w:t>
            </w:r>
          </w:p>
        </w:tc>
        <w:tc>
          <w:tcPr>
            <w:tcW w:w="709"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V/A</w:t>
            </w:r>
          </w:p>
        </w:tc>
        <w:tc>
          <w:tcPr>
            <w:tcW w:w="4039" w:type="dxa"/>
            <w:vAlign w:val="center"/>
          </w:tcPr>
          <w:p w:rsidR="00D17537" w:rsidRDefault="004D381A">
            <w:pPr>
              <w:rPr>
                <w:rFonts w:ascii="Century Gothic" w:eastAsia="Century Gothic" w:hAnsi="Century Gothic" w:cs="Century Gothic"/>
                <w:b/>
              </w:rPr>
            </w:pPr>
            <w:r>
              <w:rPr>
                <w:rFonts w:ascii="Century Gothic" w:eastAsia="Century Gothic" w:hAnsi="Century Gothic" w:cs="Century Gothic"/>
                <w:b/>
              </w:rPr>
              <w:t>Actividad:</w:t>
            </w:r>
          </w:p>
          <w:p w:rsidR="00D17537" w:rsidRDefault="004D381A">
            <w:pPr>
              <w:jc w:val="both"/>
              <w:rPr>
                <w:rFonts w:ascii="Century Gothic" w:eastAsia="Century Gothic" w:hAnsi="Century Gothic" w:cs="Century Gothic"/>
              </w:rPr>
            </w:pPr>
            <w:r>
              <w:rPr>
                <w:rFonts w:ascii="Century Gothic" w:eastAsia="Century Gothic" w:hAnsi="Century Gothic" w:cs="Century Gothic"/>
              </w:rPr>
              <w:t>Registrar en el informe anual la implementación de criterios de sostenibilidad.</w:t>
            </w:r>
          </w:p>
          <w:p w:rsidR="00D17537" w:rsidRDefault="004D381A">
            <w:pPr>
              <w:jc w:val="both"/>
              <w:rPr>
                <w:rFonts w:ascii="Century Gothic" w:eastAsia="Century Gothic" w:hAnsi="Century Gothic" w:cs="Century Gothic"/>
                <w:b/>
              </w:rPr>
            </w:pPr>
            <w:r>
              <w:rPr>
                <w:rFonts w:ascii="Century Gothic" w:eastAsia="Century Gothic" w:hAnsi="Century Gothic" w:cs="Century Gothic"/>
                <w:b/>
              </w:rPr>
              <w:t xml:space="preserve">Descripción: </w:t>
            </w:r>
          </w:p>
          <w:p w:rsidR="00D17537" w:rsidRDefault="004D381A">
            <w:pPr>
              <w:jc w:val="both"/>
              <w:rPr>
                <w:rFonts w:ascii="Century Gothic" w:eastAsia="Century Gothic" w:hAnsi="Century Gothic" w:cs="Century Gothic"/>
                <w:b/>
              </w:rPr>
            </w:pPr>
            <w:r>
              <w:rPr>
                <w:rFonts w:ascii="Century Gothic" w:eastAsia="Century Gothic" w:hAnsi="Century Gothic" w:cs="Century Gothic"/>
              </w:rPr>
              <w:t>Anualmente se realiza el análisis de la implementación gradual de las compras sostenibles institucionales a través del registro en el formato de informe de compra</w:t>
            </w:r>
            <w:r>
              <w:rPr>
                <w:rFonts w:ascii="Century Gothic" w:eastAsia="Century Gothic" w:hAnsi="Century Gothic" w:cs="Century Gothic"/>
              </w:rPr>
              <w:t>s sostenibles.</w:t>
            </w:r>
          </w:p>
        </w:tc>
        <w:tc>
          <w:tcPr>
            <w:tcW w:w="2268" w:type="dxa"/>
            <w:vAlign w:val="center"/>
          </w:tcPr>
          <w:p w:rsidR="00D17537" w:rsidRDefault="004D381A">
            <w:pPr>
              <w:jc w:val="center"/>
              <w:rPr>
                <w:rFonts w:ascii="Century Gothic" w:eastAsia="Century Gothic" w:hAnsi="Century Gothic" w:cs="Century Gothic"/>
                <w:color w:val="000000"/>
              </w:rPr>
            </w:pPr>
            <w:r>
              <w:rPr>
                <w:rFonts w:ascii="Century Gothic" w:eastAsia="Century Gothic" w:hAnsi="Century Gothic" w:cs="Century Gothic"/>
                <w:color w:val="000000"/>
              </w:rPr>
              <w:t>Gestor ambiental</w:t>
            </w:r>
          </w:p>
        </w:tc>
        <w:tc>
          <w:tcPr>
            <w:tcW w:w="2551" w:type="dxa"/>
            <w:vAlign w:val="center"/>
          </w:tcPr>
          <w:p w:rsidR="00D17537" w:rsidRDefault="004D381A">
            <w:pPr>
              <w:jc w:val="center"/>
              <w:rPr>
                <w:rFonts w:ascii="Century Gothic" w:eastAsia="Century Gothic" w:hAnsi="Century Gothic" w:cs="Century Gothic"/>
              </w:rPr>
            </w:pPr>
            <w:r>
              <w:rPr>
                <w:rFonts w:ascii="Century Gothic" w:eastAsia="Century Gothic" w:hAnsi="Century Gothic" w:cs="Century Gothic"/>
              </w:rPr>
              <w:t>Informe de compras sostenibles</w:t>
            </w:r>
          </w:p>
          <w:p w:rsidR="00D17537" w:rsidRDefault="00D17537">
            <w:pPr>
              <w:jc w:val="center"/>
              <w:rPr>
                <w:rFonts w:ascii="Century Gothic" w:eastAsia="Century Gothic" w:hAnsi="Century Gothic" w:cs="Century Gothic"/>
              </w:rPr>
            </w:pPr>
          </w:p>
          <w:p w:rsidR="00D17537" w:rsidRDefault="004D381A">
            <w:pPr>
              <w:jc w:val="center"/>
              <w:rPr>
                <w:rFonts w:ascii="Century Gothic" w:eastAsia="Century Gothic" w:hAnsi="Century Gothic" w:cs="Century Gothic"/>
              </w:rPr>
            </w:pPr>
            <w:r>
              <w:rPr>
                <w:rFonts w:ascii="Century Gothic" w:eastAsia="Century Gothic" w:hAnsi="Century Gothic" w:cs="Century Gothic"/>
              </w:rPr>
              <w:t>Indicadores</w:t>
            </w:r>
          </w:p>
        </w:tc>
      </w:tr>
    </w:tbl>
    <w:p w:rsidR="00D17537" w:rsidRDefault="00D17537">
      <w:pPr>
        <w:spacing w:after="0"/>
        <w:rPr>
          <w:rFonts w:ascii="Century Gothic" w:eastAsia="Century Gothic" w:hAnsi="Century Gothic" w:cs="Century Gothic"/>
        </w:rPr>
      </w:pPr>
    </w:p>
    <w:p w:rsidR="004D381A" w:rsidRDefault="004D381A">
      <w:pPr>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br w:type="page"/>
      </w:r>
    </w:p>
    <w:tbl>
      <w:tblPr>
        <w:tblStyle w:val="aa"/>
        <w:tblW w:w="10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9"/>
      </w:tblGrid>
      <w:tr w:rsidR="00D17537">
        <w:trPr>
          <w:jc w:val="center"/>
        </w:trPr>
        <w:tc>
          <w:tcPr>
            <w:tcW w:w="10129" w:type="dxa"/>
            <w:shd w:val="clear" w:color="auto" w:fill="D9D9D9"/>
          </w:tcPr>
          <w:p w:rsidR="00D17537" w:rsidRDefault="004D381A">
            <w:pPr>
              <w:jc w:val="center"/>
              <w:rPr>
                <w:rFonts w:ascii="Century Gothic" w:eastAsia="Century Gothic" w:hAnsi="Century Gothic" w:cs="Century Gothic"/>
                <w:b/>
              </w:rPr>
            </w:pPr>
            <w:bookmarkStart w:id="1" w:name="_heading=h.hw1e49mv3yzd" w:colFirst="0" w:colLast="0"/>
            <w:bookmarkStart w:id="2" w:name="_heading=h.tvjys1hy9mfj" w:colFirst="0" w:colLast="0"/>
            <w:bookmarkEnd w:id="1"/>
            <w:bookmarkEnd w:id="2"/>
            <w:r>
              <w:rPr>
                <w:rFonts w:ascii="Century Gothic" w:eastAsia="Century Gothic" w:hAnsi="Century Gothic" w:cs="Century Gothic"/>
                <w:b/>
              </w:rPr>
              <w:lastRenderedPageBreak/>
              <w:t xml:space="preserve">DIAGRAMA DE FLUJO </w:t>
            </w:r>
          </w:p>
        </w:tc>
      </w:tr>
      <w:tr w:rsidR="00D17537">
        <w:trPr>
          <w:jc w:val="center"/>
        </w:trPr>
        <w:tc>
          <w:tcPr>
            <w:tcW w:w="10129" w:type="dxa"/>
            <w:shd w:val="clear" w:color="auto" w:fill="auto"/>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noProof/>
              </w:rPr>
              <w:drawing>
                <wp:inline distT="114300" distB="114300" distL="114300" distR="114300">
                  <wp:extent cx="4682490" cy="5615102"/>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682490" cy="5615102"/>
                          </a:xfrm>
                          <a:prstGeom prst="rect">
                            <a:avLst/>
                          </a:prstGeom>
                          <a:ln/>
                        </pic:spPr>
                      </pic:pic>
                    </a:graphicData>
                  </a:graphic>
                </wp:inline>
              </w:drawing>
            </w:r>
          </w:p>
          <w:p w:rsidR="00D17537" w:rsidRDefault="00D17537">
            <w:pPr>
              <w:jc w:val="center"/>
              <w:rPr>
                <w:rFonts w:ascii="Century Gothic" w:eastAsia="Century Gothic" w:hAnsi="Century Gothic" w:cs="Century Gothic"/>
                <w:b/>
              </w:rPr>
            </w:pPr>
          </w:p>
        </w:tc>
      </w:tr>
    </w:tbl>
    <w:p w:rsidR="00D17537" w:rsidRDefault="00D17537">
      <w:pPr>
        <w:spacing w:after="0"/>
        <w:rPr>
          <w:rFonts w:ascii="Century Gothic" w:eastAsia="Century Gothic" w:hAnsi="Century Gothic" w:cs="Century Gothic"/>
        </w:rPr>
      </w:pPr>
    </w:p>
    <w:p w:rsidR="00D17537" w:rsidRDefault="004D381A">
      <w:pPr>
        <w:spacing w:after="0"/>
        <w:rPr>
          <w:rFonts w:ascii="Century Gothic" w:eastAsia="Century Gothic" w:hAnsi="Century Gothic" w:cs="Century Gothic"/>
        </w:rPr>
      </w:pPr>
      <w:r>
        <w:br w:type="page"/>
      </w:r>
    </w:p>
    <w:p w:rsidR="00D17537" w:rsidRDefault="00D17537">
      <w:pPr>
        <w:spacing w:after="0"/>
        <w:rPr>
          <w:rFonts w:ascii="Century Gothic" w:eastAsia="Century Gothic" w:hAnsi="Century Gothic" w:cs="Century Gothic"/>
        </w:rPr>
      </w:pPr>
    </w:p>
    <w:tbl>
      <w:tblPr>
        <w:tblStyle w:val="ab"/>
        <w:tblpPr w:leftFromText="141" w:rightFromText="141" w:vertAnchor="text" w:horzAnchor="margin" w:tblpXSpec="center" w:tblpY="210"/>
        <w:tblW w:w="102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3186"/>
        <w:gridCol w:w="1611"/>
        <w:gridCol w:w="2291"/>
      </w:tblGrid>
      <w:tr w:rsidR="004D381A" w:rsidTr="004D381A">
        <w:trPr>
          <w:trHeight w:val="542"/>
        </w:trPr>
        <w:tc>
          <w:tcPr>
            <w:tcW w:w="3176" w:type="dxa"/>
            <w:tcBorders>
              <w:top w:val="single" w:sz="4" w:space="0" w:color="000000"/>
              <w:left w:val="single" w:sz="4" w:space="0" w:color="000000"/>
              <w:bottom w:val="single" w:sz="4" w:space="0" w:color="000000"/>
              <w:right w:val="single" w:sz="4" w:space="0" w:color="000000"/>
            </w:tcBorders>
            <w:shd w:val="clear" w:color="auto" w:fill="D9D9D9"/>
          </w:tcPr>
          <w:p w:rsidR="004D381A" w:rsidRDefault="004D381A" w:rsidP="004D381A">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186" w:type="dxa"/>
            <w:tcBorders>
              <w:top w:val="single" w:sz="4" w:space="0" w:color="000000"/>
              <w:left w:val="single" w:sz="4" w:space="0" w:color="000000"/>
              <w:bottom w:val="single" w:sz="4" w:space="0" w:color="000000"/>
              <w:right w:val="single" w:sz="4" w:space="0" w:color="000000"/>
            </w:tcBorders>
            <w:shd w:val="clear" w:color="auto" w:fill="D9D9D9"/>
          </w:tcPr>
          <w:p w:rsidR="004D381A" w:rsidRDefault="004D381A" w:rsidP="004D381A">
            <w:pPr>
              <w:jc w:val="center"/>
              <w:rPr>
                <w:rFonts w:ascii="Century Gothic" w:eastAsia="Century Gothic" w:hAnsi="Century Gothic" w:cs="Century Gothic"/>
                <w:b/>
              </w:rPr>
            </w:pPr>
            <w:r>
              <w:rPr>
                <w:rFonts w:ascii="Century Gothic" w:eastAsia="Century Gothic" w:hAnsi="Century Gothic" w:cs="Century Gothic"/>
                <w:b/>
              </w:rPr>
              <w:t>Revisó</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Pr>
          <w:p w:rsidR="004D381A" w:rsidRDefault="004D381A" w:rsidP="004D381A">
            <w:pPr>
              <w:jc w:val="center"/>
              <w:rPr>
                <w:rFonts w:ascii="Century Gothic" w:eastAsia="Century Gothic" w:hAnsi="Century Gothic" w:cs="Century Gothic"/>
                <w:b/>
              </w:rPr>
            </w:pPr>
            <w:r>
              <w:rPr>
                <w:rFonts w:ascii="Century Gothic" w:eastAsia="Century Gothic" w:hAnsi="Century Gothic" w:cs="Century Gothic"/>
                <w:b/>
              </w:rPr>
              <w:t>Aprobó</w:t>
            </w:r>
          </w:p>
        </w:tc>
        <w:tc>
          <w:tcPr>
            <w:tcW w:w="2291" w:type="dxa"/>
            <w:tcBorders>
              <w:top w:val="single" w:sz="4" w:space="0" w:color="000000"/>
              <w:left w:val="single" w:sz="4" w:space="0" w:color="000000"/>
              <w:bottom w:val="single" w:sz="4" w:space="0" w:color="000000"/>
              <w:right w:val="single" w:sz="4" w:space="0" w:color="000000"/>
            </w:tcBorders>
            <w:shd w:val="clear" w:color="auto" w:fill="D9D9D9"/>
          </w:tcPr>
          <w:p w:rsidR="004D381A" w:rsidRDefault="004D381A" w:rsidP="004D381A">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4D381A" w:rsidTr="004D381A">
        <w:trPr>
          <w:trHeight w:val="630"/>
        </w:trPr>
        <w:tc>
          <w:tcPr>
            <w:tcW w:w="3176" w:type="dxa"/>
            <w:tcBorders>
              <w:top w:val="single" w:sz="4" w:space="0" w:color="000000"/>
              <w:left w:val="single" w:sz="4" w:space="0" w:color="000000"/>
              <w:bottom w:val="single" w:sz="4" w:space="0" w:color="000000"/>
              <w:right w:val="single" w:sz="4" w:space="0" w:color="000000"/>
            </w:tcBorders>
            <w:vAlign w:val="center"/>
          </w:tcPr>
          <w:p w:rsidR="004D381A" w:rsidRDefault="004D381A" w:rsidP="004D381A">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3186" w:type="dxa"/>
            <w:tcBorders>
              <w:top w:val="single" w:sz="4" w:space="0" w:color="000000"/>
              <w:left w:val="single" w:sz="4" w:space="0" w:color="000000"/>
              <w:bottom w:val="single" w:sz="4" w:space="0" w:color="000000"/>
              <w:right w:val="single" w:sz="4" w:space="0" w:color="000000"/>
            </w:tcBorders>
            <w:vAlign w:val="center"/>
          </w:tcPr>
          <w:p w:rsidR="004D381A" w:rsidRDefault="004D381A" w:rsidP="004D381A">
            <w:pPr>
              <w:jc w:val="center"/>
              <w:rPr>
                <w:rFonts w:ascii="Century Gothic" w:eastAsia="Century Gothic" w:hAnsi="Century Gothic" w:cs="Century Gothic"/>
              </w:rPr>
            </w:pPr>
            <w:r>
              <w:rPr>
                <w:rFonts w:ascii="Century Gothic" w:eastAsia="Century Gothic" w:hAnsi="Century Gothic" w:cs="Century Gothic"/>
              </w:rPr>
              <w:t xml:space="preserve"> Dirección de Aseguramiento de la Calidad</w:t>
            </w:r>
          </w:p>
        </w:tc>
        <w:tc>
          <w:tcPr>
            <w:tcW w:w="1611" w:type="dxa"/>
            <w:tcBorders>
              <w:top w:val="single" w:sz="4" w:space="0" w:color="000000"/>
              <w:left w:val="single" w:sz="4" w:space="0" w:color="000000"/>
              <w:bottom w:val="single" w:sz="4" w:space="0" w:color="000000"/>
              <w:right w:val="single" w:sz="4" w:space="0" w:color="000000"/>
            </w:tcBorders>
            <w:vAlign w:val="center"/>
          </w:tcPr>
          <w:p w:rsidR="004D381A" w:rsidRDefault="004D381A" w:rsidP="004D381A">
            <w:pPr>
              <w:jc w:val="center"/>
              <w:rPr>
                <w:rFonts w:ascii="Century Gothic" w:eastAsia="Century Gothic" w:hAnsi="Century Gothic" w:cs="Century Gothic"/>
              </w:rPr>
            </w:pPr>
            <w:r>
              <w:rPr>
                <w:rFonts w:ascii="Century Gothic" w:eastAsia="Century Gothic" w:hAnsi="Century Gothic" w:cs="Century Gothic"/>
              </w:rPr>
              <w:t>Rectoría</w:t>
            </w:r>
          </w:p>
        </w:tc>
        <w:tc>
          <w:tcPr>
            <w:tcW w:w="2291" w:type="dxa"/>
            <w:tcBorders>
              <w:top w:val="single" w:sz="4" w:space="0" w:color="000000"/>
              <w:left w:val="single" w:sz="4" w:space="0" w:color="000000"/>
              <w:bottom w:val="single" w:sz="4" w:space="0" w:color="000000"/>
              <w:right w:val="single" w:sz="4" w:space="0" w:color="000000"/>
            </w:tcBorders>
            <w:vAlign w:val="center"/>
          </w:tcPr>
          <w:p w:rsidR="004D381A" w:rsidRDefault="004D381A" w:rsidP="004D381A">
            <w:pPr>
              <w:jc w:val="center"/>
              <w:rPr>
                <w:rFonts w:ascii="Century Gothic" w:eastAsia="Century Gothic" w:hAnsi="Century Gothic" w:cs="Century Gothic"/>
              </w:rPr>
            </w:pPr>
            <w:r>
              <w:rPr>
                <w:rFonts w:ascii="Century Gothic" w:eastAsia="Century Gothic" w:hAnsi="Century Gothic" w:cs="Century Gothic"/>
              </w:rPr>
              <w:t>Julio de 2021</w:t>
            </w:r>
            <w:bookmarkStart w:id="3" w:name="_GoBack"/>
            <w:bookmarkEnd w:id="3"/>
          </w:p>
        </w:tc>
      </w:tr>
    </w:tbl>
    <w:p w:rsidR="00D17537" w:rsidRDefault="00D17537">
      <w:pPr>
        <w:spacing w:after="0"/>
        <w:rPr>
          <w:rFonts w:ascii="Century Gothic" w:eastAsia="Century Gothic" w:hAnsi="Century Gothic" w:cs="Century Gothic"/>
        </w:rPr>
      </w:pPr>
    </w:p>
    <w:p w:rsidR="00D17537" w:rsidRDefault="00D17537">
      <w:pPr>
        <w:spacing w:after="0"/>
        <w:rPr>
          <w:rFonts w:ascii="Century Gothic" w:eastAsia="Century Gothic" w:hAnsi="Century Gothic" w:cs="Century Gothic"/>
        </w:rPr>
      </w:pPr>
    </w:p>
    <w:p w:rsidR="00D17537" w:rsidRDefault="004D381A">
      <w:pPr>
        <w:rPr>
          <w:rFonts w:ascii="Century Gothic" w:eastAsia="Century Gothic" w:hAnsi="Century Gothic" w:cs="Century Gothic"/>
          <w:b/>
        </w:rPr>
      </w:pPr>
      <w:r>
        <w:rPr>
          <w:rFonts w:ascii="Century Gothic" w:eastAsia="Century Gothic" w:hAnsi="Century Gothic" w:cs="Century Gothic"/>
          <w:b/>
        </w:rPr>
        <w:t>CONTROL DE CAMBIOS</w:t>
      </w:r>
    </w:p>
    <w:tbl>
      <w:tblPr>
        <w:tblStyle w:val="ac"/>
        <w:tblW w:w="10050"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815"/>
      </w:tblGrid>
      <w:tr w:rsidR="00D17537" w:rsidTr="004D381A">
        <w:trPr>
          <w:trHeight w:val="576"/>
        </w:trPr>
        <w:tc>
          <w:tcPr>
            <w:tcW w:w="5235" w:type="dxa"/>
            <w:tcBorders>
              <w:top w:val="single" w:sz="4" w:space="0" w:color="000000"/>
              <w:left w:val="single" w:sz="4" w:space="0" w:color="000000"/>
              <w:bottom w:val="single" w:sz="4" w:space="0" w:color="000000"/>
              <w:right w:val="single" w:sz="4" w:space="0" w:color="000000"/>
            </w:tcBorders>
            <w:shd w:val="clear" w:color="auto" w:fill="D9D9D9"/>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ÍTEM</w:t>
            </w:r>
          </w:p>
        </w:tc>
        <w:tc>
          <w:tcPr>
            <w:tcW w:w="4815" w:type="dxa"/>
            <w:tcBorders>
              <w:top w:val="single" w:sz="4" w:space="0" w:color="000000"/>
              <w:left w:val="single" w:sz="4" w:space="0" w:color="000000"/>
              <w:bottom w:val="single" w:sz="4" w:space="0" w:color="000000"/>
              <w:right w:val="single" w:sz="4" w:space="0" w:color="000000"/>
            </w:tcBorders>
            <w:shd w:val="clear" w:color="auto" w:fill="D9D9D9"/>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D17537" w:rsidTr="004D381A">
        <w:trPr>
          <w:trHeight w:val="643"/>
        </w:trPr>
        <w:tc>
          <w:tcPr>
            <w:tcW w:w="5235" w:type="dxa"/>
            <w:tcBorders>
              <w:top w:val="single" w:sz="4" w:space="0" w:color="000000"/>
              <w:left w:val="single" w:sz="4" w:space="0" w:color="000000"/>
              <w:bottom w:val="single" w:sz="4" w:space="0" w:color="000000"/>
              <w:right w:val="single" w:sz="4" w:space="0" w:color="000000"/>
            </w:tcBorders>
          </w:tcPr>
          <w:p w:rsidR="00D17537" w:rsidRDefault="00D17537">
            <w:pPr>
              <w:rPr>
                <w:rFonts w:ascii="Century Gothic" w:eastAsia="Century Gothic" w:hAnsi="Century Gothic" w:cs="Century Gothic"/>
              </w:rPr>
            </w:pPr>
          </w:p>
        </w:tc>
        <w:tc>
          <w:tcPr>
            <w:tcW w:w="4815" w:type="dxa"/>
            <w:tcBorders>
              <w:top w:val="single" w:sz="4" w:space="0" w:color="000000"/>
              <w:left w:val="single" w:sz="4" w:space="0" w:color="000000"/>
              <w:bottom w:val="single" w:sz="4" w:space="0" w:color="000000"/>
              <w:right w:val="single" w:sz="4" w:space="0" w:color="000000"/>
            </w:tcBorders>
          </w:tcPr>
          <w:p w:rsidR="00D17537" w:rsidRDefault="00D17537">
            <w:pPr>
              <w:rPr>
                <w:rFonts w:ascii="Century Gothic" w:eastAsia="Century Gothic" w:hAnsi="Century Gothic" w:cs="Century Gothic"/>
              </w:rPr>
            </w:pPr>
          </w:p>
        </w:tc>
      </w:tr>
    </w:tbl>
    <w:p w:rsidR="00D17537" w:rsidRDefault="00D17537">
      <w:pPr>
        <w:jc w:val="both"/>
        <w:rPr>
          <w:rFonts w:ascii="Century Gothic" w:eastAsia="Century Gothic" w:hAnsi="Century Gothic" w:cs="Century Gothic"/>
        </w:rPr>
      </w:pPr>
    </w:p>
    <w:p w:rsidR="00D17537" w:rsidRDefault="00D17537">
      <w:pPr>
        <w:spacing w:after="0"/>
        <w:rPr>
          <w:rFonts w:ascii="Century Gothic" w:eastAsia="Century Gothic" w:hAnsi="Century Gothic" w:cs="Century Gothic"/>
        </w:rPr>
      </w:pPr>
    </w:p>
    <w:sectPr w:rsidR="00D17537">
      <w:headerReference w:type="default" r:id="rId8"/>
      <w:footerReference w:type="default" r:id="rId9"/>
      <w:pgSz w:w="12240" w:h="15840"/>
      <w:pgMar w:top="2268" w:right="1701" w:bottom="1701"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D381A">
      <w:pPr>
        <w:spacing w:after="0" w:line="240" w:lineRule="auto"/>
      </w:pPr>
      <w:r>
        <w:separator/>
      </w:r>
    </w:p>
  </w:endnote>
  <w:endnote w:type="continuationSeparator" w:id="0">
    <w:p w:rsidR="00000000" w:rsidRDefault="004D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37" w:rsidRDefault="004D381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2857500</wp:posOffset>
          </wp:positionH>
          <wp:positionV relativeFrom="paragraph">
            <wp:posOffset>-231773</wp:posOffset>
          </wp:positionV>
          <wp:extent cx="1762125" cy="5715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106" t="3415" r="38116" b="84086"/>
                  <a:stretch>
                    <a:fillRect/>
                  </a:stretch>
                </pic:blipFill>
                <pic:spPr>
                  <a:xfrm>
                    <a:off x="0" y="0"/>
                    <a:ext cx="17621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1714500</wp:posOffset>
          </wp:positionH>
          <wp:positionV relativeFrom="paragraph">
            <wp:posOffset>-476247</wp:posOffset>
          </wp:positionV>
          <wp:extent cx="1237615" cy="8128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37615"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D381A">
      <w:pPr>
        <w:spacing w:after="0" w:line="240" w:lineRule="auto"/>
      </w:pPr>
      <w:r>
        <w:separator/>
      </w:r>
    </w:p>
  </w:footnote>
  <w:footnote w:type="continuationSeparator" w:id="0">
    <w:p w:rsidR="00000000" w:rsidRDefault="004D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537" w:rsidRDefault="00D17537">
    <w:pPr>
      <w:widowControl w:val="0"/>
      <w:pBdr>
        <w:top w:val="nil"/>
        <w:left w:val="nil"/>
        <w:bottom w:val="nil"/>
        <w:right w:val="nil"/>
        <w:between w:val="nil"/>
      </w:pBdr>
      <w:spacing w:after="0"/>
      <w:rPr>
        <w:rFonts w:ascii="Century Gothic" w:eastAsia="Century Gothic" w:hAnsi="Century Gothic" w:cs="Century Gothic"/>
      </w:rPr>
    </w:pPr>
  </w:p>
  <w:tbl>
    <w:tblPr>
      <w:tblStyle w:val="ad"/>
      <w:tblW w:w="100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678"/>
      <w:gridCol w:w="1560"/>
      <w:gridCol w:w="1560"/>
    </w:tblGrid>
    <w:tr w:rsidR="00D17537">
      <w:trPr>
        <w:trHeight w:val="460"/>
      </w:trPr>
      <w:tc>
        <w:tcPr>
          <w:tcW w:w="2268" w:type="dxa"/>
          <w:vMerge w:val="restart"/>
          <w:vAlign w:val="center"/>
        </w:tcPr>
        <w:p w:rsidR="00D17537" w:rsidRDefault="004D381A">
          <w:pPr>
            <w:jc w:val="center"/>
          </w:pPr>
          <w:r>
            <w:rPr>
              <w:noProof/>
            </w:rPr>
            <w:drawing>
              <wp:inline distT="0" distB="0" distL="0" distR="0">
                <wp:extent cx="1250950" cy="570865"/>
                <wp:effectExtent l="0" t="0" r="0" b="0"/>
                <wp:docPr id="8" name="image3.jpg" descr="lotipo UCM"/>
                <wp:cNvGraphicFramePr/>
                <a:graphic xmlns:a="http://schemas.openxmlformats.org/drawingml/2006/main">
                  <a:graphicData uri="http://schemas.openxmlformats.org/drawingml/2006/picture">
                    <pic:pic xmlns:pic="http://schemas.openxmlformats.org/drawingml/2006/picture">
                      <pic:nvPicPr>
                        <pic:cNvPr id="0" name="image3.jpg" descr="lotipo UCM"/>
                        <pic:cNvPicPr preferRelativeResize="0"/>
                      </pic:nvPicPr>
                      <pic:blipFill>
                        <a:blip r:embed="rId1"/>
                        <a:srcRect/>
                        <a:stretch>
                          <a:fillRect/>
                        </a:stretch>
                      </pic:blipFill>
                      <pic:spPr>
                        <a:xfrm>
                          <a:off x="0" y="0"/>
                          <a:ext cx="1250950" cy="570865"/>
                        </a:xfrm>
                        <a:prstGeom prst="rect">
                          <a:avLst/>
                        </a:prstGeom>
                        <a:ln/>
                      </pic:spPr>
                    </pic:pic>
                  </a:graphicData>
                </a:graphic>
              </wp:inline>
            </w:drawing>
          </w:r>
        </w:p>
      </w:tc>
      <w:tc>
        <w:tcPr>
          <w:tcW w:w="4678" w:type="dxa"/>
          <w:vMerge w:val="restart"/>
          <w:vAlign w:val="center"/>
        </w:tcPr>
        <w:p w:rsidR="00D17537" w:rsidRDefault="004D381A">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UNIVERSIDAD CATÓLICA DE MANIZALES</w:t>
          </w:r>
        </w:p>
        <w:p w:rsidR="00D17537" w:rsidRDefault="00D17537">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b/>
              <w:color w:val="000000"/>
            </w:rPr>
          </w:pPr>
        </w:p>
        <w:p w:rsidR="00D17537" w:rsidRDefault="004D381A">
          <w:pPr>
            <w:jc w:val="center"/>
            <w:rPr>
              <w:rFonts w:ascii="Century Gothic" w:eastAsia="Century Gothic" w:hAnsi="Century Gothic" w:cs="Century Gothic"/>
              <w:b/>
              <w:color w:val="000000"/>
            </w:rPr>
          </w:pPr>
          <w:r>
            <w:rPr>
              <w:rFonts w:ascii="Century Gothic" w:eastAsia="Century Gothic" w:hAnsi="Century Gothic" w:cs="Century Gothic"/>
              <w:b/>
            </w:rPr>
            <w:t xml:space="preserve">PROCEDIMIENTO PARA LA COMPRA DE BIENES Y SERVICIOS CON CRITERIOS DE SOSTENIBILIDAD </w:t>
          </w:r>
        </w:p>
      </w:tc>
      <w:tc>
        <w:tcPr>
          <w:tcW w:w="1560" w:type="dxa"/>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Código</w:t>
          </w:r>
        </w:p>
      </w:tc>
      <w:tc>
        <w:tcPr>
          <w:tcW w:w="1560" w:type="dxa"/>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SCGA-P-</w:t>
          </w:r>
          <w:r>
            <w:rPr>
              <w:rFonts w:ascii="Century Gothic" w:eastAsia="Century Gothic" w:hAnsi="Century Gothic" w:cs="Century Gothic"/>
              <w:b/>
            </w:rPr>
            <w:t>8</w:t>
          </w:r>
        </w:p>
      </w:tc>
    </w:tr>
    <w:tr w:rsidR="00D17537">
      <w:trPr>
        <w:trHeight w:val="460"/>
      </w:trPr>
      <w:tc>
        <w:tcPr>
          <w:tcW w:w="2268" w:type="dxa"/>
          <w:vMerge/>
          <w:vAlign w:val="center"/>
        </w:tcPr>
        <w:p w:rsidR="00D17537" w:rsidRDefault="00D17537">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rsidR="00D17537" w:rsidRDefault="00D17537">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560" w:type="dxa"/>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Versión</w:t>
          </w:r>
        </w:p>
      </w:tc>
      <w:tc>
        <w:tcPr>
          <w:tcW w:w="1560" w:type="dxa"/>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D17537">
      <w:trPr>
        <w:trHeight w:val="556"/>
      </w:trPr>
      <w:tc>
        <w:tcPr>
          <w:tcW w:w="2268" w:type="dxa"/>
          <w:vMerge/>
          <w:vAlign w:val="center"/>
        </w:tcPr>
        <w:p w:rsidR="00D17537" w:rsidRDefault="00D17537">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4678" w:type="dxa"/>
          <w:vMerge/>
          <w:vAlign w:val="center"/>
        </w:tcPr>
        <w:p w:rsidR="00D17537" w:rsidRDefault="00D17537">
          <w:pPr>
            <w:widowControl w:val="0"/>
            <w:pBdr>
              <w:top w:val="nil"/>
              <w:left w:val="nil"/>
              <w:bottom w:val="nil"/>
              <w:right w:val="nil"/>
              <w:between w:val="nil"/>
            </w:pBdr>
            <w:spacing w:line="276" w:lineRule="auto"/>
            <w:rPr>
              <w:rFonts w:ascii="Century Gothic" w:eastAsia="Century Gothic" w:hAnsi="Century Gothic" w:cs="Century Gothic"/>
              <w:b/>
              <w:color w:val="000000"/>
            </w:rPr>
          </w:pPr>
        </w:p>
      </w:tc>
      <w:tc>
        <w:tcPr>
          <w:tcW w:w="1560" w:type="dxa"/>
          <w:vAlign w:val="center"/>
        </w:tcPr>
        <w:p w:rsidR="00D17537" w:rsidRDefault="004D381A">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rPr>
          </w:pPr>
          <w:r>
            <w:rPr>
              <w:rFonts w:ascii="Century Gothic" w:eastAsia="Century Gothic" w:hAnsi="Century Gothic" w:cs="Century Gothic"/>
              <w:b/>
              <w:color w:val="000000"/>
            </w:rPr>
            <w:t>Página</w:t>
          </w:r>
        </w:p>
      </w:tc>
      <w:tc>
        <w:tcPr>
          <w:tcW w:w="1560" w:type="dxa"/>
          <w:vAlign w:val="center"/>
        </w:tcPr>
        <w:p w:rsidR="00D17537" w:rsidRDefault="004D381A">
          <w:pPr>
            <w:jc w:val="center"/>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Pr>
              <w:rFonts w:ascii="Century Gothic" w:eastAsia="Century Gothic" w:hAnsi="Century Gothic" w:cs="Century Gothic"/>
              <w:b/>
              <w:noProof/>
            </w:rPr>
            <w:t>1</w:t>
          </w:r>
          <w:r>
            <w:rPr>
              <w:rFonts w:ascii="Century Gothic" w:eastAsia="Century Gothic" w:hAnsi="Century Gothic" w:cs="Century Gothic"/>
              <w:b/>
            </w:rPr>
            <w:fldChar w:fldCharType="end"/>
          </w:r>
          <w:r>
            <w:rPr>
              <w:rFonts w:ascii="Century Gothic" w:eastAsia="Century Gothic" w:hAnsi="Century Gothic" w:cs="Century Gothic"/>
              <w:b/>
            </w:rPr>
            <w:t xml:space="preserve"> de </w:t>
          </w:r>
          <w:r>
            <w:rPr>
              <w:rFonts w:ascii="Century Gothic" w:eastAsia="Century Gothic" w:hAnsi="Century Gothic" w:cs="Century Gothic"/>
              <w:b/>
            </w:rPr>
            <w:fldChar w:fldCharType="begin"/>
          </w:r>
          <w:r>
            <w:rPr>
              <w:rFonts w:ascii="Century Gothic" w:eastAsia="Century Gothic" w:hAnsi="Century Gothic" w:cs="Century Gothic"/>
              <w:b/>
            </w:rPr>
            <w:instrText>NUMPAGES</w:instrText>
          </w:r>
          <w:r>
            <w:rPr>
              <w:rFonts w:ascii="Century Gothic" w:eastAsia="Century Gothic" w:hAnsi="Century Gothic" w:cs="Century Gothic"/>
              <w:b/>
            </w:rPr>
            <w:fldChar w:fldCharType="separate"/>
          </w:r>
          <w:r>
            <w:rPr>
              <w:rFonts w:ascii="Century Gothic" w:eastAsia="Century Gothic" w:hAnsi="Century Gothic" w:cs="Century Gothic"/>
              <w:b/>
              <w:noProof/>
            </w:rPr>
            <w:t>1</w:t>
          </w:r>
          <w:r>
            <w:rPr>
              <w:rFonts w:ascii="Century Gothic" w:eastAsia="Century Gothic" w:hAnsi="Century Gothic" w:cs="Century Gothic"/>
              <w:b/>
            </w:rPr>
            <w:fldChar w:fldCharType="end"/>
          </w:r>
        </w:p>
      </w:tc>
    </w:tr>
  </w:tbl>
  <w:p w:rsidR="00D17537" w:rsidRDefault="00D1753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37"/>
    <w:rsid w:val="004D381A"/>
    <w:rsid w:val="00D175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A0B1"/>
  <w15:docId w15:val="{E6EECB04-BCB7-49E5-8BC5-7CD07597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264E07"/>
    <w:pPr>
      <w:spacing w:after="0" w:line="240" w:lineRule="auto"/>
    </w:p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m3uKmgxq+dAN7yuH1ca/qS4fA==">AMUW2mW6iXq57iQ5k1YjcruJxPSLaJrCk7AZrF+3ck1exZJd+RFDSoZedHzy48aNwvQaVN75914Ihj03RMUilEcIvn8VqpM4Jp99YaiSJjLSP+fFCwrOU5P+rGdlodb/S/ziSFex+wWMj43QJIspAZ+YC0vVPxqcs42Wo3gJVEN2AN2nT/8irp4=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Camila López Arcila</cp:lastModifiedBy>
  <cp:revision>2</cp:revision>
  <dcterms:created xsi:type="dcterms:W3CDTF">2021-04-27T13:27:00Z</dcterms:created>
  <dcterms:modified xsi:type="dcterms:W3CDTF">2021-07-29T20:13:00Z</dcterms:modified>
</cp:coreProperties>
</file>