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1C5" w:rsidRDefault="001411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8250"/>
      </w:tblGrid>
      <w:tr w:rsidR="001411C5">
        <w:trPr>
          <w:jc w:val="center"/>
        </w:trPr>
        <w:tc>
          <w:tcPr>
            <w:tcW w:w="1815" w:type="dxa"/>
            <w:shd w:val="clear" w:color="auto" w:fill="D9D9D9"/>
            <w:vAlign w:val="center"/>
          </w:tcPr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250" w:type="dxa"/>
            <w:shd w:val="clear" w:color="auto" w:fill="auto"/>
          </w:tcPr>
          <w:p w:rsidR="001411C5" w:rsidRDefault="009A506C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Gestionar la comunicación y el conocimiento ambiental con la comunidad universitaria, movilizando los conocimientos, disposiciones y competencias, hacia los comportamientos ambientalmente responsables en el Campus vital de la UCM.</w:t>
            </w:r>
          </w:p>
        </w:tc>
      </w:tr>
    </w:tbl>
    <w:p w:rsidR="001411C5" w:rsidRDefault="001411C5">
      <w:pPr>
        <w:spacing w:after="0"/>
        <w:rPr>
          <w:rFonts w:ascii="Century Gothic" w:eastAsia="Century Gothic" w:hAnsi="Century Gothic" w:cs="Century Gothic"/>
          <w:b/>
        </w:rPr>
      </w:pPr>
    </w:p>
    <w:tbl>
      <w:tblPr>
        <w:tblStyle w:val="a0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8250"/>
      </w:tblGrid>
      <w:tr w:rsidR="001411C5">
        <w:trPr>
          <w:jc w:val="center"/>
        </w:trPr>
        <w:tc>
          <w:tcPr>
            <w:tcW w:w="1815" w:type="dxa"/>
            <w:shd w:val="clear" w:color="auto" w:fill="D9D9D9"/>
            <w:vAlign w:val="center"/>
          </w:tcPr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250" w:type="dxa"/>
            <w:shd w:val="clear" w:color="auto" w:fill="auto"/>
          </w:tcPr>
          <w:p w:rsidR="001411C5" w:rsidRDefault="009A506C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Este procedimiento inicia con la planeación de actividades para la toma de consciencia y la comunicación ambiental enfocadas a la comunidad universitaria, dando a conocer las implicaciones de la aplicación de la Política ambiental, el Plan de cultura y gestión ambiental desde los Programas y Subprogramas. Finaliza con el seguimiento a la ejecución de estas actividades en articulación con los indicadores establecidos en la Matriz del Plan de cultura y gestión ambiental.</w:t>
            </w:r>
          </w:p>
        </w:tc>
      </w:tr>
    </w:tbl>
    <w:p w:rsidR="001411C5" w:rsidRDefault="001411C5">
      <w:pPr>
        <w:spacing w:after="0"/>
        <w:jc w:val="center"/>
        <w:rPr>
          <w:rFonts w:ascii="Century Gothic" w:eastAsia="Century Gothic" w:hAnsi="Century Gothic" w:cs="Century Gothic"/>
          <w:b/>
        </w:rPr>
      </w:pPr>
    </w:p>
    <w:tbl>
      <w:tblPr>
        <w:tblStyle w:val="a1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8235"/>
      </w:tblGrid>
      <w:tr w:rsidR="001411C5">
        <w:trPr>
          <w:jc w:val="center"/>
        </w:trPr>
        <w:tc>
          <w:tcPr>
            <w:tcW w:w="1830" w:type="dxa"/>
            <w:shd w:val="clear" w:color="auto" w:fill="D9D9D9"/>
            <w:vAlign w:val="center"/>
          </w:tcPr>
          <w:p w:rsidR="001411C5" w:rsidRDefault="009A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8235" w:type="dxa"/>
            <w:shd w:val="clear" w:color="auto" w:fill="auto"/>
          </w:tcPr>
          <w:p w:rsidR="001411C5" w:rsidRDefault="009A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highlight w:val="white"/>
              </w:rPr>
              <w:t xml:space="preserve">Educación </w:t>
            </w:r>
            <w:r>
              <w:rPr>
                <w:rFonts w:ascii="Century Gothic" w:eastAsia="Century Gothic" w:hAnsi="Century Gothic" w:cs="Century Gothic"/>
                <w:b/>
                <w:highlight w:val="white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color w:val="000000"/>
                <w:highlight w:val="white"/>
              </w:rPr>
              <w:t>mbiental:</w:t>
            </w:r>
            <w:r>
              <w:rPr>
                <w:rFonts w:ascii="Century Gothic" w:eastAsia="Century Gothic" w:hAnsi="Century Gothic" w:cs="Century Gothic"/>
                <w:color w:val="000000"/>
                <w:highlight w:val="white"/>
              </w:rPr>
              <w:t xml:space="preserve"> La UCM asume e</w:t>
            </w:r>
            <w:r>
              <w:rPr>
                <w:rFonts w:ascii="Century Gothic" w:eastAsia="Century Gothic" w:hAnsi="Century Gothic" w:cs="Century Gothic"/>
                <w:highlight w:val="white"/>
              </w:rPr>
              <w:t>l concepto de</w:t>
            </w:r>
            <w:r>
              <w:rPr>
                <w:rFonts w:ascii="Century Gothic" w:eastAsia="Century Gothic" w:hAnsi="Century Gothic" w:cs="Century Gothic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color w:val="000000"/>
              </w:rPr>
              <w:t>ducación ambiental establecido en la Ley 1549 de 20</w:t>
            </w:r>
            <w:r>
              <w:rPr>
                <w:rFonts w:ascii="Century Gothic" w:eastAsia="Century Gothic" w:hAnsi="Century Gothic" w:cs="Century Gothic"/>
              </w:rPr>
              <w:t>12 que institucionaliza la Política Nacional de Educación Ambiental en Colombia. La Educación ambiental es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un proceso dinámico y participativo, orientado a la formación de personas críticas y reflexivas, con capacidades para comprender las problemáticas ambientales de sus contextos (locales, regionales y nacionales). Al igual que para participar activamente en la construcción de apuestas integrales (técnicas, políticas, pedagógicas y otras), que apunten a la transformación de su realidad, en función del propósito de construcción de sociedades ambientalmente sustentables y socialmente justas (</w:t>
            </w:r>
            <w:r>
              <w:rPr>
                <w:rFonts w:ascii="Century Gothic" w:eastAsia="Century Gothic" w:hAnsi="Century Gothic" w:cs="Century Gothic"/>
              </w:rPr>
              <w:t>Congreso de la república, 2012</w:t>
            </w:r>
            <w:r>
              <w:rPr>
                <w:rFonts w:ascii="Century Gothic" w:eastAsia="Century Gothic" w:hAnsi="Century Gothic" w:cs="Century Gothic"/>
                <w:color w:val="000000"/>
              </w:rPr>
              <w:t>)</w:t>
            </w:r>
            <w:r>
              <w:rPr>
                <w:rFonts w:ascii="Century Gothic" w:eastAsia="Century Gothic" w:hAnsi="Century Gothic" w:cs="Century Gothic"/>
              </w:rPr>
              <w:t>.</w:t>
            </w:r>
          </w:p>
          <w:p w:rsidR="001411C5" w:rsidRDefault="00141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</w:p>
          <w:p w:rsidR="001411C5" w:rsidRDefault="009A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Cultura ambiental: </w:t>
            </w:r>
            <w:r>
              <w:rPr>
                <w:rFonts w:ascii="Century Gothic" w:eastAsia="Century Gothic" w:hAnsi="Century Gothic" w:cs="Century Gothic"/>
              </w:rPr>
              <w:t>R</w:t>
            </w:r>
            <w:r>
              <w:rPr>
                <w:rFonts w:ascii="Century Gothic" w:eastAsia="Century Gothic" w:hAnsi="Century Gothic" w:cs="Century Gothic"/>
                <w:color w:val="000000"/>
              </w:rPr>
              <w:t>elación equilibrada de la sociedad con la naturaleza, la cual valora y reconoce plenamente la esfera no humana y nuestra dependencia de ella, de modo que oriente una adecuada toma de decisiones, que minimice los impactos sobre la biosfera (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Plumwood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, 2005). </w:t>
            </w:r>
            <w:r>
              <w:rPr>
                <w:rFonts w:ascii="Century Gothic" w:eastAsia="Century Gothic" w:hAnsi="Century Gothic" w:cs="Century Gothic"/>
              </w:rPr>
              <w:t>Consolidar una Cultura ambiental universitaria, le permitirá a la UCM lograr un Campus vital.</w:t>
            </w:r>
          </w:p>
          <w:p w:rsidR="001411C5" w:rsidRDefault="00141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</w:p>
          <w:p w:rsidR="001411C5" w:rsidRDefault="009A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Educomunicación: </w:t>
            </w:r>
            <w:r>
              <w:rPr>
                <w:rFonts w:ascii="Century Gothic" w:eastAsia="Century Gothic" w:hAnsi="Century Gothic" w:cs="Century Gothic"/>
              </w:rPr>
              <w:t xml:space="preserve">Proceso de transmisión simbólica y de reproducción cultural, la cual incluye las dos grandes tradiciones culturales, la alfabética y la oral-icónica, esta última convertida en cultura mediática, lo cual nos </w:t>
            </w:r>
            <w:r>
              <w:rPr>
                <w:rFonts w:ascii="Century Gothic" w:eastAsia="Century Gothic" w:hAnsi="Century Gothic" w:cs="Century Gothic"/>
              </w:rPr>
              <w:lastRenderedPageBreak/>
              <w:t>permite pensar la educación mediática, no como destreza técnica, sino como competencia cultural (Narváez-Montoya, 2018).</w:t>
            </w:r>
          </w:p>
        </w:tc>
      </w:tr>
    </w:tbl>
    <w:p w:rsidR="001411C5" w:rsidRDefault="009A506C">
      <w:pPr>
        <w:tabs>
          <w:tab w:val="left" w:pos="1845"/>
        </w:tabs>
        <w:spacing w:after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ab/>
      </w:r>
    </w:p>
    <w:tbl>
      <w:tblPr>
        <w:tblStyle w:val="a2"/>
        <w:tblW w:w="101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10"/>
        <w:gridCol w:w="4238"/>
        <w:gridCol w:w="2268"/>
        <w:gridCol w:w="2551"/>
      </w:tblGrid>
      <w:tr w:rsidR="001411C5">
        <w:trPr>
          <w:jc w:val="center"/>
        </w:trPr>
        <w:tc>
          <w:tcPr>
            <w:tcW w:w="10129" w:type="dxa"/>
            <w:gridSpan w:val="5"/>
            <w:shd w:val="clear" w:color="auto" w:fill="D9D9D9"/>
          </w:tcPr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PROCEDIMIENTO </w:t>
            </w:r>
          </w:p>
        </w:tc>
      </w:tr>
      <w:tr w:rsidR="001411C5">
        <w:trPr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N.º</w:t>
            </w:r>
          </w:p>
        </w:tc>
        <w:tc>
          <w:tcPr>
            <w:tcW w:w="510" w:type="dxa"/>
            <w:shd w:val="clear" w:color="auto" w:fill="D9D9D9"/>
          </w:tcPr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</w:t>
            </w:r>
          </w:p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VA</w:t>
            </w:r>
          </w:p>
        </w:tc>
        <w:tc>
          <w:tcPr>
            <w:tcW w:w="4238" w:type="dxa"/>
            <w:shd w:val="clear" w:color="auto" w:fill="D9D9D9"/>
            <w:vAlign w:val="center"/>
          </w:tcPr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 / DESCRIPCIÓN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REGISTRO (MEDIO DE VERIFICACIÓN)</w:t>
            </w:r>
          </w:p>
        </w:tc>
      </w:tr>
      <w:tr w:rsidR="001411C5">
        <w:trPr>
          <w:trHeight w:val="3890"/>
          <w:jc w:val="center"/>
        </w:trPr>
        <w:tc>
          <w:tcPr>
            <w:tcW w:w="562" w:type="dxa"/>
            <w:vAlign w:val="center"/>
          </w:tcPr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510" w:type="dxa"/>
            <w:vAlign w:val="center"/>
          </w:tcPr>
          <w:p w:rsidR="001411C5" w:rsidRDefault="009A506C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238" w:type="dxa"/>
            <w:vAlign w:val="center"/>
          </w:tcPr>
          <w:p w:rsidR="001411C5" w:rsidRDefault="009A506C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Actividad: </w:t>
            </w:r>
            <w:r>
              <w:rPr>
                <w:rFonts w:ascii="Century Gothic" w:eastAsia="Century Gothic" w:hAnsi="Century Gothic" w:cs="Century Gothic"/>
              </w:rPr>
              <w:t>Identificación de los aspectos a comunicar.</w:t>
            </w:r>
          </w:p>
          <w:p w:rsidR="001411C5" w:rsidRDefault="001411C5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1411C5" w:rsidRDefault="009A506C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 </w:t>
            </w:r>
            <w:r>
              <w:rPr>
                <w:rFonts w:ascii="Century Gothic" w:eastAsia="Century Gothic" w:hAnsi="Century Gothic" w:cs="Century Gothic"/>
              </w:rPr>
              <w:t xml:space="preserve">Los aspectos a comunicar se seleccionan a partir </w:t>
            </w:r>
            <w:r w:rsidR="007D14E8">
              <w:rPr>
                <w:rFonts w:ascii="Century Gothic" w:eastAsia="Century Gothic" w:hAnsi="Century Gothic" w:cs="Century Gothic"/>
              </w:rPr>
              <w:t>de la caracterización</w:t>
            </w:r>
            <w:r>
              <w:rPr>
                <w:rFonts w:ascii="Century Gothic" w:eastAsia="Century Gothic" w:hAnsi="Century Gothic" w:cs="Century Gothic"/>
              </w:rPr>
              <w:t xml:space="preserve"> del Proceso de cultura y gestión ambiental y el Plan de cultura y gestión. Se registran en la Matriz de educomunicación para la toma de consciencia.</w:t>
            </w:r>
          </w:p>
          <w:p w:rsidR="001411C5" w:rsidRDefault="001411C5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268" w:type="dxa"/>
          </w:tcPr>
          <w:p w:rsidR="001411C5" w:rsidRDefault="001411C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:rsidR="001411C5" w:rsidRDefault="001411C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:rsidR="001411C5" w:rsidRDefault="001411C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Equipo de cultura y gestión ambiental </w:t>
            </w:r>
          </w:p>
        </w:tc>
        <w:tc>
          <w:tcPr>
            <w:tcW w:w="2551" w:type="dxa"/>
          </w:tcPr>
          <w:p w:rsidR="001411C5" w:rsidRDefault="001411C5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  <w:p w:rsidR="001411C5" w:rsidRDefault="009A506C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Caracterización del proceso de cultura y gestión ambiental</w:t>
            </w:r>
          </w:p>
          <w:p w:rsidR="001411C5" w:rsidRDefault="001411C5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  <w:p w:rsidR="001411C5" w:rsidRDefault="009A506C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 de cultura y gestión ambiental</w:t>
            </w:r>
          </w:p>
          <w:p w:rsidR="001411C5" w:rsidRDefault="001411C5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  <w:p w:rsidR="001411C5" w:rsidRDefault="009A506C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educomunicación para la toma de consciencia</w:t>
            </w:r>
          </w:p>
          <w:p w:rsidR="001411C5" w:rsidRDefault="001411C5">
            <w:pPr>
              <w:rPr>
                <w:rFonts w:ascii="Century Gothic" w:eastAsia="Century Gothic" w:hAnsi="Century Gothic" w:cs="Century Gothic"/>
              </w:rPr>
            </w:pPr>
          </w:p>
          <w:p w:rsidR="001411C5" w:rsidRDefault="001411C5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1411C5">
        <w:trPr>
          <w:trHeight w:val="3890"/>
          <w:jc w:val="center"/>
        </w:trPr>
        <w:tc>
          <w:tcPr>
            <w:tcW w:w="562" w:type="dxa"/>
            <w:vAlign w:val="center"/>
          </w:tcPr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2</w:t>
            </w:r>
          </w:p>
        </w:tc>
        <w:tc>
          <w:tcPr>
            <w:tcW w:w="510" w:type="dxa"/>
            <w:vAlign w:val="center"/>
          </w:tcPr>
          <w:p w:rsidR="001411C5" w:rsidRDefault="001411C5">
            <w:pPr>
              <w:rPr>
                <w:rFonts w:ascii="Century Gothic" w:eastAsia="Century Gothic" w:hAnsi="Century Gothic" w:cs="Century Gothic"/>
              </w:rPr>
            </w:pPr>
          </w:p>
          <w:p w:rsidR="001411C5" w:rsidRDefault="001411C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:rsidR="001411C5" w:rsidRDefault="001411C5">
            <w:pPr>
              <w:rPr>
                <w:rFonts w:ascii="Century Gothic" w:eastAsia="Century Gothic" w:hAnsi="Century Gothic" w:cs="Century Gothic"/>
              </w:rPr>
            </w:pPr>
          </w:p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  <w:p w:rsidR="001411C5" w:rsidRDefault="001411C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:rsidR="001411C5" w:rsidRDefault="001411C5">
            <w:pPr>
              <w:rPr>
                <w:rFonts w:ascii="Century Gothic" w:eastAsia="Century Gothic" w:hAnsi="Century Gothic" w:cs="Century Gothic"/>
              </w:rPr>
            </w:pPr>
          </w:p>
          <w:p w:rsidR="001411C5" w:rsidRDefault="001411C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:rsidR="001411C5" w:rsidRDefault="001411C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238" w:type="dxa"/>
            <w:vAlign w:val="center"/>
          </w:tcPr>
          <w:p w:rsidR="001411C5" w:rsidRDefault="009A506C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Actividad: </w:t>
            </w:r>
            <w:r>
              <w:rPr>
                <w:rFonts w:ascii="Century Gothic" w:eastAsia="Century Gothic" w:hAnsi="Century Gothic" w:cs="Century Gothic"/>
              </w:rPr>
              <w:t xml:space="preserve">Identificación de la </w:t>
            </w:r>
            <w:r w:rsidR="007D14E8">
              <w:rPr>
                <w:rFonts w:ascii="Century Gothic" w:eastAsia="Century Gothic" w:hAnsi="Century Gothic" w:cs="Century Gothic"/>
              </w:rPr>
              <w:t>comunidad receptora</w:t>
            </w:r>
            <w:r>
              <w:rPr>
                <w:rFonts w:ascii="Century Gothic" w:eastAsia="Century Gothic" w:hAnsi="Century Gothic" w:cs="Century Gothic"/>
              </w:rPr>
              <w:t>.</w:t>
            </w:r>
          </w:p>
          <w:p w:rsidR="001411C5" w:rsidRDefault="001411C5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</w:p>
          <w:p w:rsidR="001411C5" w:rsidRDefault="009A506C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 </w:t>
            </w:r>
            <w:r>
              <w:rPr>
                <w:rFonts w:ascii="Century Gothic" w:eastAsia="Century Gothic" w:hAnsi="Century Gothic" w:cs="Century Gothic"/>
              </w:rPr>
              <w:t>La comunidad receptora se identifica desde los grupos de interés registrados en la caracterización del proceso, así como desde los responsables del Plan de cultura y gestión ambiental. La comunidad receptora se registra en la Matriz de educomunicación para la toma de consciencia.</w:t>
            </w:r>
          </w:p>
          <w:p w:rsidR="001411C5" w:rsidRDefault="001411C5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68" w:type="dxa"/>
          </w:tcPr>
          <w:p w:rsidR="001411C5" w:rsidRDefault="001411C5">
            <w:pPr>
              <w:rPr>
                <w:rFonts w:ascii="Century Gothic" w:eastAsia="Century Gothic" w:hAnsi="Century Gothic" w:cs="Century Gothic"/>
              </w:rPr>
            </w:pPr>
          </w:p>
          <w:p w:rsidR="001411C5" w:rsidRDefault="001411C5">
            <w:pPr>
              <w:rPr>
                <w:rFonts w:ascii="Century Gothic" w:eastAsia="Century Gothic" w:hAnsi="Century Gothic" w:cs="Century Gothic"/>
              </w:rPr>
            </w:pPr>
          </w:p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Equipo de cultura y gestión ambiental </w:t>
            </w:r>
          </w:p>
        </w:tc>
        <w:tc>
          <w:tcPr>
            <w:tcW w:w="2551" w:type="dxa"/>
          </w:tcPr>
          <w:p w:rsidR="001411C5" w:rsidRDefault="001411C5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  <w:p w:rsidR="001411C5" w:rsidRDefault="009A506C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Caracterización del proceso de cultura y gestión ambiental</w:t>
            </w:r>
          </w:p>
          <w:p w:rsidR="001411C5" w:rsidRDefault="001411C5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  <w:p w:rsidR="001411C5" w:rsidRDefault="009A506C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Plan de cultura y gestión ambiental</w:t>
            </w:r>
          </w:p>
          <w:p w:rsidR="001411C5" w:rsidRDefault="001411C5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  <w:p w:rsidR="001411C5" w:rsidRDefault="009A506C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educomunicación para la toma de consciencia</w:t>
            </w:r>
          </w:p>
        </w:tc>
      </w:tr>
      <w:tr w:rsidR="001411C5">
        <w:trPr>
          <w:trHeight w:val="2004"/>
          <w:jc w:val="center"/>
        </w:trPr>
        <w:tc>
          <w:tcPr>
            <w:tcW w:w="562" w:type="dxa"/>
            <w:vAlign w:val="center"/>
          </w:tcPr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510" w:type="dxa"/>
            <w:vAlign w:val="center"/>
          </w:tcPr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38" w:type="dxa"/>
            <w:vAlign w:val="center"/>
          </w:tcPr>
          <w:p w:rsidR="001411C5" w:rsidRDefault="009A506C">
            <w:pPr>
              <w:spacing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Actividad: </w:t>
            </w:r>
            <w:r>
              <w:rPr>
                <w:rFonts w:ascii="Century Gothic" w:eastAsia="Century Gothic" w:hAnsi="Century Gothic" w:cs="Century Gothic"/>
              </w:rPr>
              <w:t>Identificación de la frecuencia con la que se comunica.</w:t>
            </w:r>
          </w:p>
          <w:p w:rsidR="001411C5" w:rsidRDefault="001411C5">
            <w:pPr>
              <w:spacing w:after="0"/>
              <w:rPr>
                <w:rFonts w:ascii="Century Gothic" w:eastAsia="Century Gothic" w:hAnsi="Century Gothic" w:cs="Century Gothic"/>
              </w:rPr>
            </w:pPr>
          </w:p>
          <w:p w:rsidR="001411C5" w:rsidRDefault="009A506C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 </w:t>
            </w:r>
            <w:r>
              <w:rPr>
                <w:rFonts w:ascii="Century Gothic" w:eastAsia="Century Gothic" w:hAnsi="Century Gothic" w:cs="Century Gothic"/>
              </w:rPr>
              <w:t xml:space="preserve">Se establece el período de tiempo pertinente para realizar la comunicación respectiva y se registra en la matriz. Las frecuencias pueden ser: Permanente, anual, semestral, única vez, cuando se requiera. </w:t>
            </w:r>
          </w:p>
        </w:tc>
        <w:tc>
          <w:tcPr>
            <w:tcW w:w="2268" w:type="dxa"/>
          </w:tcPr>
          <w:p w:rsidR="001411C5" w:rsidRDefault="001411C5">
            <w:pPr>
              <w:rPr>
                <w:rFonts w:ascii="Century Gothic" w:eastAsia="Century Gothic" w:hAnsi="Century Gothic" w:cs="Century Gothic"/>
              </w:rPr>
            </w:pPr>
          </w:p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Equipo de cultura y gestión ambiental </w:t>
            </w:r>
          </w:p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Comunicaciones</w:t>
            </w:r>
          </w:p>
        </w:tc>
        <w:tc>
          <w:tcPr>
            <w:tcW w:w="2551" w:type="dxa"/>
          </w:tcPr>
          <w:p w:rsidR="001411C5" w:rsidRDefault="001411C5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  <w:p w:rsidR="001411C5" w:rsidRDefault="009A506C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educomunicación para la toma de consciencia</w:t>
            </w:r>
          </w:p>
          <w:p w:rsidR="001411C5" w:rsidRDefault="001411C5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1411C5" w:rsidTr="009A506C">
        <w:trPr>
          <w:trHeight w:val="2004"/>
          <w:jc w:val="center"/>
        </w:trPr>
        <w:tc>
          <w:tcPr>
            <w:tcW w:w="562" w:type="dxa"/>
            <w:vAlign w:val="center"/>
          </w:tcPr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510" w:type="dxa"/>
            <w:vAlign w:val="center"/>
          </w:tcPr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38" w:type="dxa"/>
            <w:vAlign w:val="center"/>
          </w:tcPr>
          <w:p w:rsidR="001411C5" w:rsidRDefault="009A506C">
            <w:pPr>
              <w:spacing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  <w:r>
              <w:rPr>
                <w:rFonts w:ascii="Century Gothic" w:eastAsia="Century Gothic" w:hAnsi="Century Gothic" w:cs="Century Gothic"/>
              </w:rPr>
              <w:t xml:space="preserve"> Identificación de las estrategias y medios a través de los cuales se comunica.</w:t>
            </w:r>
          </w:p>
          <w:p w:rsidR="001411C5" w:rsidRDefault="001411C5">
            <w:pPr>
              <w:spacing w:after="0"/>
              <w:rPr>
                <w:rFonts w:ascii="Century Gothic" w:eastAsia="Century Gothic" w:hAnsi="Century Gothic" w:cs="Century Gothic"/>
              </w:rPr>
            </w:pPr>
          </w:p>
          <w:p w:rsidR="001411C5" w:rsidRDefault="009A506C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 </w:t>
            </w:r>
            <w:r>
              <w:rPr>
                <w:rFonts w:ascii="Century Gothic" w:eastAsia="Century Gothic" w:hAnsi="Century Gothic" w:cs="Century Gothic"/>
              </w:rPr>
              <w:t>A partir de la estrategia educomunicativa Soy Consciente, soy UCM, se priorizan los medios a través de los cuales se realiza la comunicación y se registran en la matriz.</w:t>
            </w:r>
          </w:p>
        </w:tc>
        <w:tc>
          <w:tcPr>
            <w:tcW w:w="2268" w:type="dxa"/>
            <w:vAlign w:val="center"/>
          </w:tcPr>
          <w:p w:rsidR="001411C5" w:rsidRDefault="009A506C" w:rsidP="009A506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Aseguramiento de la calidad</w:t>
            </w:r>
          </w:p>
          <w:p w:rsidR="001411C5" w:rsidRDefault="009A506C" w:rsidP="009A506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Equipo de cultura y gestión ambiental</w:t>
            </w:r>
          </w:p>
          <w:p w:rsidR="001411C5" w:rsidRDefault="009A506C" w:rsidP="009A506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Comunicaciones</w:t>
            </w:r>
          </w:p>
          <w:p w:rsidR="001411C5" w:rsidRDefault="009A506C" w:rsidP="009A506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Marca</w:t>
            </w:r>
          </w:p>
        </w:tc>
        <w:tc>
          <w:tcPr>
            <w:tcW w:w="2551" w:type="dxa"/>
            <w:vAlign w:val="center"/>
          </w:tcPr>
          <w:p w:rsidR="001411C5" w:rsidRDefault="001411C5" w:rsidP="009A506C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:rsidR="001411C5" w:rsidRDefault="009A506C" w:rsidP="009A506C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educomunicación para la toma de consciencia</w:t>
            </w:r>
          </w:p>
          <w:p w:rsidR="001411C5" w:rsidRDefault="001411C5" w:rsidP="009A506C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1411C5">
        <w:trPr>
          <w:trHeight w:val="2004"/>
          <w:jc w:val="center"/>
        </w:trPr>
        <w:tc>
          <w:tcPr>
            <w:tcW w:w="562" w:type="dxa"/>
            <w:vAlign w:val="center"/>
          </w:tcPr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5</w:t>
            </w:r>
          </w:p>
        </w:tc>
        <w:tc>
          <w:tcPr>
            <w:tcW w:w="510" w:type="dxa"/>
            <w:vAlign w:val="center"/>
          </w:tcPr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38" w:type="dxa"/>
            <w:vAlign w:val="center"/>
          </w:tcPr>
          <w:p w:rsidR="001411C5" w:rsidRDefault="009A506C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Actividad: </w:t>
            </w:r>
            <w:r>
              <w:rPr>
                <w:rFonts w:ascii="Century Gothic" w:eastAsia="Century Gothic" w:hAnsi="Century Gothic" w:cs="Century Gothic"/>
              </w:rPr>
              <w:t>Identificación del responsable de la comunicación</w:t>
            </w:r>
            <w:r>
              <w:rPr>
                <w:rFonts w:ascii="Century Gothic" w:eastAsia="Century Gothic" w:hAnsi="Century Gothic" w:cs="Century Gothic"/>
                <w:b/>
              </w:rPr>
              <w:t>.</w:t>
            </w:r>
          </w:p>
          <w:p w:rsidR="001411C5" w:rsidRDefault="001411C5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</w:p>
          <w:p w:rsidR="001411C5" w:rsidRDefault="009A506C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  <w:r>
              <w:rPr>
                <w:rFonts w:ascii="Century Gothic" w:eastAsia="Century Gothic" w:hAnsi="Century Gothic" w:cs="Century Gothic"/>
              </w:rPr>
              <w:t xml:space="preserve">Se </w:t>
            </w:r>
            <w:r w:rsidR="007D14E8">
              <w:rPr>
                <w:rFonts w:ascii="Century Gothic" w:eastAsia="Century Gothic" w:hAnsi="Century Gothic" w:cs="Century Gothic"/>
              </w:rPr>
              <w:t>identifican los</w:t>
            </w:r>
            <w:r>
              <w:rPr>
                <w:rFonts w:ascii="Century Gothic" w:eastAsia="Century Gothic" w:hAnsi="Century Gothic" w:cs="Century Gothic"/>
              </w:rPr>
              <w:t xml:space="preserve"> emisores de la comunicación y se registran en la matriz.</w:t>
            </w:r>
          </w:p>
        </w:tc>
        <w:tc>
          <w:tcPr>
            <w:tcW w:w="2268" w:type="dxa"/>
          </w:tcPr>
          <w:p w:rsidR="001411C5" w:rsidRDefault="001411C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Equipo de cultura y gestión ambiental</w:t>
            </w:r>
          </w:p>
        </w:tc>
        <w:tc>
          <w:tcPr>
            <w:tcW w:w="2551" w:type="dxa"/>
          </w:tcPr>
          <w:p w:rsidR="001411C5" w:rsidRDefault="001411C5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  <w:p w:rsidR="001411C5" w:rsidRDefault="009A506C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educomunicación para la toma de consciencia</w:t>
            </w:r>
          </w:p>
          <w:p w:rsidR="001411C5" w:rsidRDefault="001411C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1411C5">
        <w:trPr>
          <w:trHeight w:val="2004"/>
          <w:jc w:val="center"/>
        </w:trPr>
        <w:tc>
          <w:tcPr>
            <w:tcW w:w="562" w:type="dxa"/>
            <w:vAlign w:val="center"/>
          </w:tcPr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510" w:type="dxa"/>
            <w:vAlign w:val="center"/>
          </w:tcPr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38" w:type="dxa"/>
            <w:vAlign w:val="center"/>
          </w:tcPr>
          <w:p w:rsidR="001411C5" w:rsidRDefault="009A506C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Actividad: </w:t>
            </w:r>
            <w:r>
              <w:rPr>
                <w:rFonts w:ascii="Century Gothic" w:eastAsia="Century Gothic" w:hAnsi="Century Gothic" w:cs="Century Gothic"/>
              </w:rPr>
              <w:t>Implementación de actividades para la toma de consciencia y la comunicación.</w:t>
            </w:r>
          </w:p>
          <w:p w:rsidR="001411C5" w:rsidRDefault="001411C5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</w:p>
          <w:p w:rsidR="001411C5" w:rsidRDefault="009A506C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  <w:r>
              <w:rPr>
                <w:rFonts w:ascii="Century Gothic" w:eastAsia="Century Gothic" w:hAnsi="Century Gothic" w:cs="Century Gothic"/>
              </w:rPr>
              <w:t>Se implementan las actividades para la toma de consciencia y la comunicación planteadas en la matriz.</w:t>
            </w:r>
          </w:p>
        </w:tc>
        <w:tc>
          <w:tcPr>
            <w:tcW w:w="2268" w:type="dxa"/>
          </w:tcPr>
          <w:p w:rsidR="001411C5" w:rsidRDefault="001411C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Equipo de cultura y gestión ambiental</w:t>
            </w:r>
          </w:p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Comunicaciones</w:t>
            </w:r>
          </w:p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Marca</w:t>
            </w:r>
          </w:p>
        </w:tc>
        <w:tc>
          <w:tcPr>
            <w:tcW w:w="2551" w:type="dxa"/>
          </w:tcPr>
          <w:p w:rsidR="001411C5" w:rsidRDefault="001411C5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  <w:p w:rsidR="001411C5" w:rsidRDefault="001411C5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  <w:p w:rsidR="001411C5" w:rsidRDefault="009A506C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Estrategias y medios (material audiovisual, piezas de difusión, entre otros) </w:t>
            </w:r>
          </w:p>
        </w:tc>
      </w:tr>
      <w:tr w:rsidR="001411C5" w:rsidTr="009A506C">
        <w:trPr>
          <w:trHeight w:val="2004"/>
          <w:jc w:val="center"/>
        </w:trPr>
        <w:tc>
          <w:tcPr>
            <w:tcW w:w="562" w:type="dxa"/>
            <w:vAlign w:val="center"/>
          </w:tcPr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7</w:t>
            </w:r>
          </w:p>
        </w:tc>
        <w:tc>
          <w:tcPr>
            <w:tcW w:w="510" w:type="dxa"/>
            <w:vAlign w:val="center"/>
          </w:tcPr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238" w:type="dxa"/>
            <w:vAlign w:val="center"/>
          </w:tcPr>
          <w:p w:rsidR="001411C5" w:rsidRDefault="009A506C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Actividad: </w:t>
            </w:r>
            <w:r>
              <w:rPr>
                <w:rFonts w:ascii="Century Gothic" w:eastAsia="Century Gothic" w:hAnsi="Century Gothic" w:cs="Century Gothic"/>
              </w:rPr>
              <w:t>Realización de Informe de actividades para la toma de consciencia.</w:t>
            </w:r>
          </w:p>
          <w:p w:rsidR="001411C5" w:rsidRDefault="001411C5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1411C5" w:rsidRDefault="009A506C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  <w:r>
              <w:rPr>
                <w:rFonts w:ascii="Century Gothic" w:eastAsia="Century Gothic" w:hAnsi="Century Gothic" w:cs="Century Gothic"/>
              </w:rPr>
              <w:t>Las actividades realizadas se registran en el formato Informe de actividades para la toma de consciencia</w:t>
            </w:r>
          </w:p>
        </w:tc>
        <w:tc>
          <w:tcPr>
            <w:tcW w:w="2268" w:type="dxa"/>
            <w:vAlign w:val="center"/>
          </w:tcPr>
          <w:p w:rsidR="001411C5" w:rsidRDefault="009A506C" w:rsidP="009A506C">
            <w:pPr>
              <w:jc w:val="center"/>
              <w:rPr>
                <w:rFonts w:ascii="Century Gothic" w:eastAsia="Century Gothic" w:hAnsi="Century Gothic" w:cs="Century Gothic"/>
                <w:color w:val="FF0000"/>
              </w:rPr>
            </w:pPr>
            <w:r>
              <w:rPr>
                <w:rFonts w:ascii="Century Gothic" w:eastAsia="Century Gothic" w:hAnsi="Century Gothic" w:cs="Century Gothic"/>
              </w:rPr>
              <w:t>Equipo de cultura y gestión ambiental</w:t>
            </w:r>
          </w:p>
        </w:tc>
        <w:tc>
          <w:tcPr>
            <w:tcW w:w="2551" w:type="dxa"/>
            <w:vAlign w:val="center"/>
          </w:tcPr>
          <w:p w:rsidR="001411C5" w:rsidRDefault="009A506C" w:rsidP="009A506C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Informe de actividades para la toma de consciencia</w:t>
            </w:r>
          </w:p>
        </w:tc>
      </w:tr>
      <w:tr w:rsidR="001411C5" w:rsidTr="009A506C">
        <w:trPr>
          <w:trHeight w:val="2004"/>
          <w:jc w:val="center"/>
        </w:trPr>
        <w:tc>
          <w:tcPr>
            <w:tcW w:w="562" w:type="dxa"/>
            <w:vAlign w:val="center"/>
          </w:tcPr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8</w:t>
            </w:r>
          </w:p>
        </w:tc>
        <w:tc>
          <w:tcPr>
            <w:tcW w:w="510" w:type="dxa"/>
            <w:vAlign w:val="center"/>
          </w:tcPr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238" w:type="dxa"/>
            <w:vAlign w:val="center"/>
          </w:tcPr>
          <w:p w:rsidR="001411C5" w:rsidRDefault="009A506C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Actividad: </w:t>
            </w:r>
            <w:r>
              <w:rPr>
                <w:rFonts w:ascii="Century Gothic" w:eastAsia="Century Gothic" w:hAnsi="Century Gothic" w:cs="Century Gothic"/>
              </w:rPr>
              <w:t xml:space="preserve">Seguimiento a indicadores de toma de consciencia en el Plan de cultura y gestión ambiental. </w:t>
            </w:r>
          </w:p>
          <w:p w:rsidR="001411C5" w:rsidRDefault="001411C5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</w:p>
          <w:p w:rsidR="001411C5" w:rsidRDefault="009A506C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 </w:t>
            </w:r>
            <w:r>
              <w:rPr>
                <w:rFonts w:ascii="Century Gothic" w:eastAsia="Century Gothic" w:hAnsi="Century Gothic" w:cs="Century Gothic"/>
              </w:rPr>
              <w:t>Se realiza el diligenciamiento correspondiente en el Informe de Plan de cultura y gestión ambiental y se realizan las observaciones de seguimiento por parte de la Dirección de Aseguramiento de la calidad.</w:t>
            </w:r>
          </w:p>
          <w:p w:rsidR="001411C5" w:rsidRDefault="001411C5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268" w:type="dxa"/>
            <w:vAlign w:val="center"/>
          </w:tcPr>
          <w:p w:rsidR="001411C5" w:rsidRDefault="009A506C" w:rsidP="009A506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Equipo de cultura y gestión ambiental</w:t>
            </w:r>
          </w:p>
          <w:p w:rsidR="001411C5" w:rsidRDefault="009A506C" w:rsidP="009A506C">
            <w:pPr>
              <w:jc w:val="center"/>
              <w:rPr>
                <w:rFonts w:ascii="Century Gothic" w:eastAsia="Century Gothic" w:hAnsi="Century Gothic" w:cs="Century Gothic"/>
                <w:color w:val="FF0000"/>
              </w:rPr>
            </w:pPr>
            <w:r>
              <w:rPr>
                <w:rFonts w:ascii="Century Gothic" w:eastAsia="Century Gothic" w:hAnsi="Century Gothic" w:cs="Century Gothic"/>
              </w:rPr>
              <w:t>Aseguramiento de la calidad</w:t>
            </w:r>
          </w:p>
        </w:tc>
        <w:tc>
          <w:tcPr>
            <w:tcW w:w="2551" w:type="dxa"/>
            <w:vAlign w:val="center"/>
          </w:tcPr>
          <w:p w:rsidR="001411C5" w:rsidRDefault="009A506C" w:rsidP="009A506C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Informe Plan de cultura y gestión ambiental</w:t>
            </w:r>
          </w:p>
        </w:tc>
      </w:tr>
    </w:tbl>
    <w:p w:rsidR="001411C5" w:rsidRDefault="001411C5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a3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266"/>
        <w:gridCol w:w="1580"/>
        <w:gridCol w:w="2247"/>
      </w:tblGrid>
      <w:tr w:rsidR="001411C5" w:rsidTr="007D14E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Elaboró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1411C5" w:rsidTr="007D14E8">
        <w:trPr>
          <w:trHeight w:val="100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Equipo de Cultura y </w:t>
            </w:r>
            <w:r w:rsidR="007D14E8">
              <w:rPr>
                <w:rFonts w:ascii="Century Gothic" w:eastAsia="Century Gothic" w:hAnsi="Century Gothic" w:cs="Century Gothic"/>
              </w:rPr>
              <w:t>G</w:t>
            </w:r>
            <w:r>
              <w:rPr>
                <w:rFonts w:ascii="Century Gothic" w:eastAsia="Century Gothic" w:hAnsi="Century Gothic" w:cs="Century Gothic"/>
              </w:rPr>
              <w:t xml:space="preserve">estión </w:t>
            </w:r>
            <w:r w:rsidR="007D14E8">
              <w:rPr>
                <w:rFonts w:ascii="Century Gothic" w:eastAsia="Century Gothic" w:hAnsi="Century Gothic" w:cs="Century Gothic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mbiental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1C5" w:rsidRDefault="007D14E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Rectoría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1C5" w:rsidRDefault="007D14E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Julio de 2021</w:t>
            </w:r>
          </w:p>
        </w:tc>
      </w:tr>
    </w:tbl>
    <w:p w:rsidR="001411C5" w:rsidRDefault="001411C5">
      <w:pPr>
        <w:spacing w:after="0"/>
        <w:rPr>
          <w:rFonts w:ascii="Century Gothic" w:eastAsia="Century Gothic" w:hAnsi="Century Gothic" w:cs="Century Gothic"/>
        </w:rPr>
      </w:pPr>
    </w:p>
    <w:p w:rsidR="007D14E8" w:rsidRDefault="007D14E8" w:rsidP="007D14E8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tbl>
      <w:tblPr>
        <w:tblStyle w:val="a4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6"/>
        <w:gridCol w:w="4819"/>
      </w:tblGrid>
      <w:tr w:rsidR="001411C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ITEM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11C5" w:rsidRDefault="009A506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1411C5">
        <w:trPr>
          <w:trHeight w:val="64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C5" w:rsidRDefault="001411C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C5" w:rsidRDefault="001411C5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:rsidR="001411C5" w:rsidRDefault="001411C5">
      <w:pPr>
        <w:spacing w:after="0"/>
        <w:rPr>
          <w:rFonts w:ascii="Century Gothic" w:eastAsia="Century Gothic" w:hAnsi="Century Gothic" w:cs="Century Gothic"/>
        </w:rPr>
      </w:pPr>
    </w:p>
    <w:sectPr w:rsidR="001411C5">
      <w:headerReference w:type="default" r:id="rId6"/>
      <w:footerReference w:type="default" r:id="rId7"/>
      <w:pgSz w:w="12240" w:h="15840"/>
      <w:pgMar w:top="2268" w:right="1701" w:bottom="1701" w:left="1701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E19" w:rsidRDefault="009A506C">
      <w:pPr>
        <w:spacing w:after="0" w:line="240" w:lineRule="auto"/>
      </w:pPr>
      <w:r>
        <w:separator/>
      </w:r>
    </w:p>
  </w:endnote>
  <w:endnote w:type="continuationSeparator" w:id="0">
    <w:p w:rsidR="00492E19" w:rsidRDefault="009A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1C5" w:rsidRDefault="001411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E19" w:rsidRDefault="009A506C">
      <w:pPr>
        <w:spacing w:after="0" w:line="240" w:lineRule="auto"/>
      </w:pPr>
      <w:r>
        <w:separator/>
      </w:r>
    </w:p>
  </w:footnote>
  <w:footnote w:type="continuationSeparator" w:id="0">
    <w:p w:rsidR="00492E19" w:rsidRDefault="009A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1C5" w:rsidRDefault="001411C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</w:rPr>
    </w:pPr>
  </w:p>
  <w:tbl>
    <w:tblPr>
      <w:tblStyle w:val="a5"/>
      <w:tblW w:w="10065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68"/>
      <w:gridCol w:w="4678"/>
      <w:gridCol w:w="1174"/>
      <w:gridCol w:w="1945"/>
    </w:tblGrid>
    <w:tr w:rsidR="001411C5">
      <w:trPr>
        <w:trHeight w:val="460"/>
      </w:trPr>
      <w:tc>
        <w:tcPr>
          <w:tcW w:w="2268" w:type="dxa"/>
          <w:vMerge w:val="restart"/>
          <w:vAlign w:val="center"/>
        </w:tcPr>
        <w:p w:rsidR="001411C5" w:rsidRDefault="009A506C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250950" cy="570865"/>
                <wp:effectExtent l="0" t="0" r="0" b="0"/>
                <wp:docPr id="1" name="image1.jpg" descr="lotipo U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tipo UC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950" cy="5708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1411C5" w:rsidRDefault="009A50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UNIVERSIDAD CATÓLICA DE MANIZALES</w:t>
          </w:r>
        </w:p>
        <w:p w:rsidR="001411C5" w:rsidRDefault="001411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</w:p>
        <w:p w:rsidR="001411C5" w:rsidRDefault="009A50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PROCEDIMIENTO </w:t>
          </w:r>
          <w:r>
            <w:rPr>
              <w:rFonts w:ascii="Century Gothic" w:eastAsia="Century Gothic" w:hAnsi="Century Gothic" w:cs="Century Gothic"/>
              <w:b/>
            </w:rPr>
            <w:t>DE EDUCOMUNICACIÓN PARA LA</w:t>
          </w: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 TOMA DE CONCIENCIA </w:t>
          </w:r>
        </w:p>
      </w:tc>
      <w:tc>
        <w:tcPr>
          <w:tcW w:w="1174" w:type="dxa"/>
          <w:vAlign w:val="center"/>
        </w:tcPr>
        <w:p w:rsidR="001411C5" w:rsidRDefault="009A50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Código</w:t>
          </w:r>
        </w:p>
      </w:tc>
      <w:tc>
        <w:tcPr>
          <w:tcW w:w="1945" w:type="dxa"/>
          <w:vAlign w:val="center"/>
        </w:tcPr>
        <w:p w:rsidR="001411C5" w:rsidRDefault="009A50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SCGA-P-6</w:t>
          </w:r>
        </w:p>
      </w:tc>
    </w:tr>
    <w:tr w:rsidR="001411C5">
      <w:trPr>
        <w:trHeight w:val="460"/>
      </w:trPr>
      <w:tc>
        <w:tcPr>
          <w:tcW w:w="2268" w:type="dxa"/>
          <w:vMerge/>
          <w:vAlign w:val="center"/>
        </w:tcPr>
        <w:p w:rsidR="001411C5" w:rsidRDefault="001411C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4678" w:type="dxa"/>
          <w:vMerge/>
          <w:vAlign w:val="center"/>
        </w:tcPr>
        <w:p w:rsidR="001411C5" w:rsidRDefault="001411C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1174" w:type="dxa"/>
          <w:vAlign w:val="center"/>
        </w:tcPr>
        <w:p w:rsidR="001411C5" w:rsidRDefault="009A50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Versión</w:t>
          </w:r>
        </w:p>
      </w:tc>
      <w:tc>
        <w:tcPr>
          <w:tcW w:w="1945" w:type="dxa"/>
          <w:vAlign w:val="center"/>
        </w:tcPr>
        <w:p w:rsidR="001411C5" w:rsidRDefault="009A50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1</w:t>
          </w:r>
        </w:p>
      </w:tc>
    </w:tr>
    <w:tr w:rsidR="001411C5">
      <w:trPr>
        <w:trHeight w:val="460"/>
      </w:trPr>
      <w:tc>
        <w:tcPr>
          <w:tcW w:w="2268" w:type="dxa"/>
          <w:vMerge/>
          <w:vAlign w:val="center"/>
        </w:tcPr>
        <w:p w:rsidR="001411C5" w:rsidRDefault="001411C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4678" w:type="dxa"/>
          <w:vMerge/>
          <w:vAlign w:val="center"/>
        </w:tcPr>
        <w:p w:rsidR="001411C5" w:rsidRDefault="001411C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1174" w:type="dxa"/>
          <w:vAlign w:val="center"/>
        </w:tcPr>
        <w:p w:rsidR="001411C5" w:rsidRDefault="009A50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Página</w:t>
          </w:r>
        </w:p>
      </w:tc>
      <w:tc>
        <w:tcPr>
          <w:tcW w:w="1945" w:type="dxa"/>
          <w:vAlign w:val="center"/>
        </w:tcPr>
        <w:p w:rsidR="001411C5" w:rsidRDefault="009A506C">
          <w:pPr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  <w:b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</w:rPr>
            <w:instrText>PAGE</w:instrText>
          </w:r>
          <w:r>
            <w:rPr>
              <w:rFonts w:ascii="Century Gothic" w:eastAsia="Century Gothic" w:hAnsi="Century Gothic" w:cs="Century Gothic"/>
              <w:b/>
            </w:rPr>
            <w:fldChar w:fldCharType="separate"/>
          </w:r>
          <w:r w:rsidR="007D14E8">
            <w:rPr>
              <w:rFonts w:ascii="Century Gothic" w:eastAsia="Century Gothic" w:hAnsi="Century Gothic" w:cs="Century Gothic"/>
              <w:b/>
              <w:noProof/>
            </w:rPr>
            <w:t>1</w:t>
          </w:r>
          <w:r>
            <w:rPr>
              <w:rFonts w:ascii="Century Gothic" w:eastAsia="Century Gothic" w:hAnsi="Century Gothic" w:cs="Century Gothic"/>
              <w:b/>
            </w:rPr>
            <w:fldChar w:fldCharType="end"/>
          </w:r>
          <w:r>
            <w:rPr>
              <w:rFonts w:ascii="Century Gothic" w:eastAsia="Century Gothic" w:hAnsi="Century Gothic" w:cs="Century Gothic"/>
              <w:b/>
            </w:rPr>
            <w:t xml:space="preserve"> de </w:t>
          </w:r>
          <w:r>
            <w:rPr>
              <w:rFonts w:ascii="Century Gothic" w:eastAsia="Century Gothic" w:hAnsi="Century Gothic" w:cs="Century Gothic"/>
              <w:b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</w:rPr>
            <w:instrText>NUMPAGES</w:instrText>
          </w:r>
          <w:r>
            <w:rPr>
              <w:rFonts w:ascii="Century Gothic" w:eastAsia="Century Gothic" w:hAnsi="Century Gothic" w:cs="Century Gothic"/>
              <w:b/>
            </w:rPr>
            <w:fldChar w:fldCharType="separate"/>
          </w:r>
          <w:r w:rsidR="007D14E8">
            <w:rPr>
              <w:rFonts w:ascii="Century Gothic" w:eastAsia="Century Gothic" w:hAnsi="Century Gothic" w:cs="Century Gothic"/>
              <w:b/>
              <w:noProof/>
            </w:rPr>
            <w:t>1</w:t>
          </w:r>
          <w:r>
            <w:rPr>
              <w:rFonts w:ascii="Century Gothic" w:eastAsia="Century Gothic" w:hAnsi="Century Gothic" w:cs="Century Gothic"/>
              <w:b/>
            </w:rPr>
            <w:fldChar w:fldCharType="end"/>
          </w:r>
        </w:p>
      </w:tc>
    </w:tr>
  </w:tbl>
  <w:p w:rsidR="001411C5" w:rsidRDefault="001411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C5"/>
    <w:rsid w:val="001411C5"/>
    <w:rsid w:val="00492E19"/>
    <w:rsid w:val="007D14E8"/>
    <w:rsid w:val="009A506C"/>
    <w:rsid w:val="00B8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2669"/>
  <w15:docId w15:val="{E6EECB04-BCB7-49E5-8BC5-7CD07597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50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01A"/>
  </w:style>
  <w:style w:type="paragraph" w:styleId="Piedepgina">
    <w:name w:val="footer"/>
    <w:basedOn w:val="Normal"/>
    <w:link w:val="PiedepginaCar"/>
    <w:uiPriority w:val="99"/>
    <w:unhideWhenUsed/>
    <w:rsid w:val="00B850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875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Camila López Arcila</cp:lastModifiedBy>
  <cp:revision>4</cp:revision>
  <dcterms:created xsi:type="dcterms:W3CDTF">2021-07-29T19:54:00Z</dcterms:created>
  <dcterms:modified xsi:type="dcterms:W3CDTF">2021-07-29T19:57:00Z</dcterms:modified>
</cp:coreProperties>
</file>