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5354" w:rsidRDefault="00685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5"/>
      </w:tblGrid>
      <w:tr w:rsidR="00685354" w14:paraId="08484D71" w14:textId="7777777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00000002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085" w:type="dxa"/>
            <w:shd w:val="clear" w:color="auto" w:fill="auto"/>
          </w:tcPr>
          <w:p w14:paraId="00000003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Identificar, analizar, evaluar y comunicar los riesgos ambientales asociados a los procesos institucionales para proyectar oportunidades de mejora para el SCGA.</w:t>
            </w:r>
          </w:p>
        </w:tc>
      </w:tr>
    </w:tbl>
    <w:p w14:paraId="00000004" w14:textId="77777777" w:rsidR="00685354" w:rsidRDefault="00685354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7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040"/>
      </w:tblGrid>
      <w:tr w:rsidR="00685354" w14:paraId="58CF8EDD" w14:textId="77777777">
        <w:trPr>
          <w:jc w:val="center"/>
        </w:trPr>
        <w:tc>
          <w:tcPr>
            <w:tcW w:w="2025" w:type="dxa"/>
            <w:shd w:val="clear" w:color="auto" w:fill="D9D9D9"/>
            <w:vAlign w:val="center"/>
          </w:tcPr>
          <w:p w14:paraId="00000005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040" w:type="dxa"/>
            <w:shd w:val="clear" w:color="auto" w:fill="auto"/>
          </w:tcPr>
          <w:p w14:paraId="00000006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Este procedimiento inicia con la caracterización de las actividades asociadas con los</w:t>
            </w:r>
            <w:r>
              <w:rPr>
                <w:rFonts w:ascii="Century Gothic" w:eastAsia="Century Gothic" w:hAnsi="Century Gothic" w:cs="Century Gothic"/>
              </w:rPr>
              <w:t xml:space="preserve"> aspectos ambientales institucionales, como posibles generadores de los riesgos ambientales, identificando las fuentes de riesgo y analizando los riesgos inherentes y finaliza analizando la eficacia de los controles existentes.</w:t>
            </w:r>
          </w:p>
        </w:tc>
      </w:tr>
    </w:tbl>
    <w:p w14:paraId="00000007" w14:textId="77777777" w:rsidR="00685354" w:rsidRDefault="00685354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8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7980"/>
      </w:tblGrid>
      <w:tr w:rsidR="00685354" w14:paraId="2DA89193" w14:textId="77777777">
        <w:trPr>
          <w:jc w:val="center"/>
        </w:trPr>
        <w:tc>
          <w:tcPr>
            <w:tcW w:w="2085" w:type="dxa"/>
            <w:shd w:val="clear" w:color="auto" w:fill="D9D9D9"/>
            <w:vAlign w:val="center"/>
          </w:tcPr>
          <w:p w14:paraId="00000008" w14:textId="77777777" w:rsidR="00685354" w:rsidRDefault="00F53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980" w:type="dxa"/>
            <w:shd w:val="clear" w:color="auto" w:fill="auto"/>
          </w:tcPr>
          <w:p w14:paraId="00000009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efecto de la incertidumbre sobre los objetivos (NTC ISO 31000, 2018)</w:t>
            </w:r>
          </w:p>
          <w:p w14:paraId="0000000A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 ambiental: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se define como la probabilidad de ocurrencia que un peligro afecte directa o indirectamente al ambiente y a su biodiversidad, en un lugar y tiempo determinado,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l cual puede ser de origen natural o antropogénico (Ministerio del Ambiente del Perú – MINAM, 2009)</w:t>
            </w:r>
          </w:p>
          <w:p w14:paraId="0000000B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Agente de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son todos aquellos objetos, instrumentos, instalaciones, ambiente, acciones humanas, que están en capacidad de producir lesiones, daños en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las instalaciones, materiales y procesos (ARL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SURA,s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>.f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</w:p>
          <w:p w14:paraId="0000000C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Fuente de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elemento que solo o en combinación tiene el potencial intrínseco de originar un riesgo (NTC ISO 31000, 2018)</w:t>
            </w:r>
          </w:p>
          <w:p w14:paraId="0000000D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Riesgos naturales: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son sucesos naturales que amenazan vidas, bienes mate</w:t>
            </w:r>
            <w:r>
              <w:rPr>
                <w:rFonts w:ascii="Century Gothic" w:eastAsia="Century Gothic" w:hAnsi="Century Gothic" w:cs="Century Gothic"/>
                <w:color w:val="000000"/>
              </w:rPr>
              <w:t>riales y otros activos. Tienden a ocurrir repetidamente en las mismas zonas geográficas porque están relacionados con las pautas climatológicas o las condiciones físicas de un área, por tal razón se pueden pronosticar con frecuencia (Agencia Federal para e</w:t>
            </w:r>
            <w:r>
              <w:rPr>
                <w:rFonts w:ascii="Century Gothic" w:eastAsia="Century Gothic" w:hAnsi="Century Gothic" w:cs="Century Gothic"/>
                <w:color w:val="000000"/>
              </w:rPr>
              <w:t>l Manejo de Emergencias, 2004)</w:t>
            </w:r>
          </w:p>
          <w:p w14:paraId="0000000E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Riesgos operativos: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riesgos asociados a eventos que puedan afectar negativamente al ambiente y que suceden debido a la ejecución de actividades misionales de la institución. Entre estos se incluyen la afectación a la calidad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del agua, el aire, el suelo, la contaminación visual,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(Universidad Nacional de Colombia, s.f.)</w:t>
            </w:r>
          </w:p>
          <w:p w14:paraId="0000000F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Riesgos tecnológicos: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Son aquellos eventos generados por el uso y acceso a la tecnología, originados tanto por eventos antrópicos, naturales, socio-naturales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, como aquellos propios de la operación. Entre estos se encuentran las fugas, derrames, incendios y explosiones (Unidad Nacional para la Gestión del Riesgo de Desastres, 2017)</w:t>
            </w:r>
          </w:p>
          <w:p w14:paraId="00000010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Receptor: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hace referencia a la entidad ecológica expuesta al agente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tensionante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(es decir, el receptor se puede referir a aquellos componentes específicos del ambiente sometidos a estudio que pueden sufrir el impacto) GTC 104 (2009)</w:t>
            </w:r>
          </w:p>
          <w:p w14:paraId="00000011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 xml:space="preserve">Consecuencias potenciales: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Resultado o impacto de un evento (GTC,2009)</w:t>
            </w:r>
          </w:p>
          <w:p w14:paraId="00000012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Análisis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para comprender la naturaleza del riesgo y determinar el nivel de riesgo (NTC ISO 31000, 2018)</w:t>
            </w:r>
          </w:p>
          <w:p w14:paraId="00000013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Valoración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global de identificación del riesgo, análisis del riesgo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y evaluación del riesgo (NTC ISO 31000, 2018)</w:t>
            </w:r>
          </w:p>
          <w:p w14:paraId="00000014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Identificación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para encontrar, reconocer y describir el riesgo (NTC ISO 31000, 2018)</w:t>
            </w:r>
          </w:p>
          <w:p w14:paraId="00000015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Evaluación del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proceso de comparación de los resultados del análisis del riesgo con los criterios del riesgo, para determinar si el riesgo, su magnitud o ambos son aceptables o tolerables (NTC ISO 31000, 2018)</w:t>
            </w:r>
          </w:p>
          <w:p w14:paraId="00000016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Riesgo inherente: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es aquel al que se enfrenta una entidad o </w:t>
            </w:r>
            <w:r>
              <w:rPr>
                <w:rFonts w:ascii="Century Gothic" w:eastAsia="Century Gothic" w:hAnsi="Century Gothic" w:cs="Century Gothic"/>
                <w:color w:val="000000"/>
              </w:rPr>
              <w:t>proceso en ausencia de controles y/o acciones para modificar su probabilidad o impacto (Departamento Administrativo de la Función Pública, 2018)</w:t>
            </w:r>
          </w:p>
          <w:p w14:paraId="00000017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Probabilidad: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oportunidad de que algo suceda, este o no esté definido, medido o determinado objetiva o subjetiv</w:t>
            </w:r>
            <w:r>
              <w:rPr>
                <w:rFonts w:ascii="Century Gothic" w:eastAsia="Century Gothic" w:hAnsi="Century Gothic" w:cs="Century Gothic"/>
                <w:color w:val="000000"/>
              </w:rPr>
              <w:t>amente, cualitativa o cuantitativamente, y descrito utilizando términos generales o matemáticos o la frecuencia en un periodo de tiempo determinado (NTC ISO 31000, 2018)</w:t>
            </w:r>
          </w:p>
          <w:p w14:paraId="00000018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Nivel de riesgo: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magnitud de un registro o de una combinación de riesgos, expresada en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términos de la combinación de las consecuencias y su probabilidad (NTC ISO 31000, 2018)</w:t>
            </w:r>
          </w:p>
          <w:p w14:paraId="00000019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medida que modifica al riesgo (NTC ISO 31000, 2018)</w:t>
            </w:r>
          </w:p>
          <w:p w14:paraId="0000001A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Controles correctivos: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este tipo de controles están orientados a la contención del daño (Acosta Rodríguez,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2018).  Aquellos que permiten, después de ser detectado el evento no deseado, el restablecimiento de la actividad</w:t>
            </w:r>
          </w:p>
          <w:p w14:paraId="0000001B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Controles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</w:rPr>
              <w:t>detectivos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controles que permiten proveer una notificación al personal encargado cuando el incidente ya ha ocurrido o se han detec</w:t>
            </w:r>
            <w:r>
              <w:rPr>
                <w:rFonts w:ascii="Century Gothic" w:eastAsia="Century Gothic" w:hAnsi="Century Gothic" w:cs="Century Gothic"/>
                <w:color w:val="000000"/>
              </w:rPr>
              <w:t>tado comportamientos anormales que pueden ser indicios de la ocurrencia de un incidente (Acosta Rodríguez, 2018). Aquellos que registran un evento después presentado; sirven para descubrir resultados no previstos y alertar sobre la presencia de un riesgo</w:t>
            </w:r>
          </w:p>
          <w:p w14:paraId="0000001C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ontroles preventivos: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este tipo de controles son la primera línea de acción frente a una posible amenaza. Por lo general están enforcados en la aplicación de medidas para evitar un riesgo de manera anticipada (Acosta Rodríguez, 2018). Se orientan a elimina</w:t>
            </w:r>
            <w:r>
              <w:rPr>
                <w:rFonts w:ascii="Century Gothic" w:eastAsia="Century Gothic" w:hAnsi="Century Gothic" w:cs="Century Gothic"/>
                <w:color w:val="000000"/>
              </w:rPr>
              <w:t>r las causas del riesgo, para prevenir su ocurrencia o materialización</w:t>
            </w:r>
          </w:p>
          <w:p w14:paraId="0000001D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Riesgo residual: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nivel de riesgo que permanece luego de determinar y aplicar controles para su administración (Departamento Administrativo de la Función Pública, 2018)</w:t>
            </w:r>
          </w:p>
          <w:p w14:paraId="0000001E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Gestión del riesg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o: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Actividades coordinadas para dirigir y controlar una organización con respecto al riesgo (NTC ISO 31000, 2018)</w:t>
            </w:r>
          </w:p>
        </w:tc>
      </w:tr>
    </w:tbl>
    <w:p w14:paraId="0000001F" w14:textId="77777777" w:rsidR="00685354" w:rsidRDefault="00685354">
      <w:pPr>
        <w:rPr>
          <w:rFonts w:ascii="Century Gothic" w:eastAsia="Century Gothic" w:hAnsi="Century Gothic" w:cs="Century Gothic"/>
        </w:rPr>
      </w:pPr>
    </w:p>
    <w:p w14:paraId="00000020" w14:textId="77777777" w:rsidR="00685354" w:rsidRDefault="00F53FAE">
      <w:pPr>
        <w:rPr>
          <w:rFonts w:ascii="Century Gothic" w:eastAsia="Century Gothic" w:hAnsi="Century Gothic" w:cs="Century Gothic"/>
        </w:rPr>
      </w:pPr>
      <w:r>
        <w:br w:type="page"/>
      </w:r>
    </w:p>
    <w:tbl>
      <w:tblPr>
        <w:tblStyle w:val="a9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"/>
        <w:gridCol w:w="4238"/>
        <w:gridCol w:w="2268"/>
        <w:gridCol w:w="2551"/>
      </w:tblGrid>
      <w:tr w:rsidR="00685354" w14:paraId="36E56D59" w14:textId="77777777">
        <w:trPr>
          <w:trHeight w:val="411"/>
          <w:jc w:val="center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00000021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PROCEDIMIENTO</w:t>
            </w:r>
          </w:p>
        </w:tc>
      </w:tr>
      <w:tr w:rsidR="00685354" w14:paraId="1AA0CAF9" w14:textId="77777777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00000026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10" w:type="dxa"/>
            <w:shd w:val="clear" w:color="auto" w:fill="D9D9D9"/>
          </w:tcPr>
          <w:p w14:paraId="00000027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00000028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14:paraId="00000029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000002A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000002B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685354" w14:paraId="25976B8E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000002C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10" w:type="dxa"/>
            <w:vAlign w:val="center"/>
          </w:tcPr>
          <w:p w14:paraId="0000002D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2E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2F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Caracterizar las actividades asociadas con los aspectos ambientales institucionales, como posibles generadores de los riesgos ambientales.</w:t>
            </w:r>
          </w:p>
          <w:p w14:paraId="00000030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31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Desarrollar la caracterización de las actividades asociadas con los procesos institucionales establecid</w:t>
            </w:r>
            <w:r>
              <w:rPr>
                <w:rFonts w:ascii="Century Gothic" w:eastAsia="Century Gothic" w:hAnsi="Century Gothic" w:cs="Century Gothic"/>
              </w:rPr>
              <w:t>os en el mapa de procesos, alrededor de la identificación de las actividades asociadas, el proceso, tipo de proceso y el área involucrada.</w:t>
            </w:r>
          </w:p>
        </w:tc>
        <w:tc>
          <w:tcPr>
            <w:tcW w:w="2268" w:type="dxa"/>
            <w:vAlign w:val="center"/>
          </w:tcPr>
          <w:p w14:paraId="00000032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33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00000034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</w:tc>
      </w:tr>
      <w:tr w:rsidR="00685354" w14:paraId="3D05E9CC" w14:textId="77777777">
        <w:trPr>
          <w:trHeight w:val="684"/>
          <w:jc w:val="center"/>
        </w:trPr>
        <w:tc>
          <w:tcPr>
            <w:tcW w:w="562" w:type="dxa"/>
            <w:vAlign w:val="center"/>
          </w:tcPr>
          <w:p w14:paraId="00000035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10" w:type="dxa"/>
            <w:vAlign w:val="center"/>
          </w:tcPr>
          <w:p w14:paraId="00000036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37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38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 fuente del riesgo ambiental a partir de la actividad asociada.</w:t>
            </w:r>
          </w:p>
          <w:p w14:paraId="00000039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3A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 partir de la actividad caracterizada y según el aspecto ambiental identificado en la Matriz de determinación y evaluación de aspectos e impactos ambientales, dete</w:t>
            </w:r>
            <w:r>
              <w:rPr>
                <w:rFonts w:ascii="Century Gothic" w:eastAsia="Century Gothic" w:hAnsi="Century Gothic" w:cs="Century Gothic"/>
              </w:rPr>
              <w:t xml:space="preserve">rminar el agente de riesgo, el tipo de riesgo asociado y las consecuencias potenciales con sus respectivos receptores. </w:t>
            </w:r>
          </w:p>
        </w:tc>
        <w:tc>
          <w:tcPr>
            <w:tcW w:w="2268" w:type="dxa"/>
            <w:vAlign w:val="center"/>
          </w:tcPr>
          <w:p w14:paraId="0000003B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3C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aspectos e impactos ambientales</w:t>
            </w:r>
          </w:p>
          <w:p w14:paraId="0000003D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</w:t>
            </w:r>
            <w:r>
              <w:rPr>
                <w:rFonts w:ascii="Century Gothic" w:eastAsia="Century Gothic" w:hAnsi="Century Gothic" w:cs="Century Gothic"/>
              </w:rPr>
              <w:t xml:space="preserve"> ambientales</w:t>
            </w:r>
          </w:p>
        </w:tc>
      </w:tr>
      <w:tr w:rsidR="00685354" w14:paraId="26E70E54" w14:textId="77777777">
        <w:trPr>
          <w:trHeight w:val="826"/>
          <w:jc w:val="center"/>
        </w:trPr>
        <w:tc>
          <w:tcPr>
            <w:tcW w:w="562" w:type="dxa"/>
            <w:vAlign w:val="center"/>
          </w:tcPr>
          <w:p w14:paraId="0000003E" w14:textId="77777777" w:rsidR="00685354" w:rsidRDefault="00685354">
            <w:pPr>
              <w:rPr>
                <w:rFonts w:ascii="Century Gothic" w:eastAsia="Century Gothic" w:hAnsi="Century Gothic" w:cs="Century Gothic"/>
              </w:rPr>
            </w:pPr>
          </w:p>
          <w:p w14:paraId="0000003F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10" w:type="dxa"/>
            <w:vAlign w:val="center"/>
          </w:tcPr>
          <w:p w14:paraId="00000040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41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42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Analizar los riesgos inherentes. </w:t>
            </w:r>
          </w:p>
          <w:p w14:paraId="00000043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44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Realizar la valoración del riesgo ambiental inherente según los criterios de valor definidos en la Matriz de determinación y evaluación de riesgos ambientales (pestaña 2) para obtener el nivel de riesgo.</w:t>
            </w:r>
          </w:p>
        </w:tc>
        <w:tc>
          <w:tcPr>
            <w:tcW w:w="2268" w:type="dxa"/>
            <w:vAlign w:val="center"/>
          </w:tcPr>
          <w:p w14:paraId="00000045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46" w14:textId="77777777" w:rsidR="00685354" w:rsidRDefault="00F53FAE">
            <w:pPr>
              <w:ind w:left="283"/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</w:t>
            </w:r>
            <w:r>
              <w:rPr>
                <w:rFonts w:ascii="Century Gothic" w:eastAsia="Century Gothic" w:hAnsi="Century Gothic" w:cs="Century Gothic"/>
              </w:rPr>
              <w:t>n de riesgos ambientales</w:t>
            </w:r>
          </w:p>
        </w:tc>
      </w:tr>
      <w:tr w:rsidR="00685354" w14:paraId="091D707B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0000047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4</w:t>
            </w:r>
          </w:p>
        </w:tc>
        <w:tc>
          <w:tcPr>
            <w:tcW w:w="510" w:type="dxa"/>
            <w:vAlign w:val="center"/>
          </w:tcPr>
          <w:p w14:paraId="00000048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49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Actividad: </w:t>
            </w:r>
          </w:p>
          <w:p w14:paraId="0000004A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los controles operacionales existentes del riesgo inherente.</w:t>
            </w:r>
          </w:p>
          <w:p w14:paraId="0000004B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4C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Una vez identificados los riesgos ambientales con un nivel de riesgo alto y extremo, registrar en la matriz los controles operacionales existentes, tales como: mecanismos, políticas, prácticas u otras acciones que actúen para minimizar los riesgos y potenc</w:t>
            </w:r>
            <w:r>
              <w:rPr>
                <w:rFonts w:ascii="Century Gothic" w:eastAsia="Century Gothic" w:hAnsi="Century Gothic" w:cs="Century Gothic"/>
              </w:rPr>
              <w:t>iar oportunidades.</w:t>
            </w:r>
          </w:p>
        </w:tc>
        <w:tc>
          <w:tcPr>
            <w:tcW w:w="2268" w:type="dxa"/>
            <w:vAlign w:val="center"/>
          </w:tcPr>
          <w:p w14:paraId="0000004D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4E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highlight w:val="yellow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</w:tc>
      </w:tr>
      <w:tr w:rsidR="00685354" w14:paraId="4970C87E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000004F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10" w:type="dxa"/>
            <w:vAlign w:val="center"/>
          </w:tcPr>
          <w:p w14:paraId="00000050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00000051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52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Analizar los riesgos residuales. </w:t>
            </w:r>
          </w:p>
          <w:p w14:paraId="00000053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54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Una vez establecidos los controles, realizar la valoración del riesgo ambiental residual según los criterios de valor definidos en la Matriz de determinación y evaluación de riesgos ambientales (pestaña 2) para obtener el nivel de riesgo y definir la efect</w:t>
            </w:r>
            <w:r>
              <w:rPr>
                <w:rFonts w:ascii="Century Gothic" w:eastAsia="Century Gothic" w:hAnsi="Century Gothic" w:cs="Century Gothic"/>
              </w:rPr>
              <w:t xml:space="preserve">ividad de los controles. </w:t>
            </w:r>
          </w:p>
        </w:tc>
        <w:tc>
          <w:tcPr>
            <w:tcW w:w="2268" w:type="dxa"/>
            <w:vAlign w:val="center"/>
          </w:tcPr>
          <w:p w14:paraId="00000055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Gestor ambiental</w:t>
            </w:r>
          </w:p>
        </w:tc>
        <w:tc>
          <w:tcPr>
            <w:tcW w:w="2551" w:type="dxa"/>
            <w:vAlign w:val="center"/>
          </w:tcPr>
          <w:p w14:paraId="00000056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</w:tc>
      </w:tr>
      <w:tr w:rsidR="00685354" w14:paraId="06C87141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0000057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10" w:type="dxa"/>
            <w:vAlign w:val="center"/>
          </w:tcPr>
          <w:p w14:paraId="00000058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4238" w:type="dxa"/>
            <w:vAlign w:val="center"/>
          </w:tcPr>
          <w:p w14:paraId="00000059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5A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Comunicar los riesgos ambientales priorizados. </w:t>
            </w:r>
          </w:p>
          <w:p w14:paraId="0000005B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5C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Incluir en la matriz de comunicaciones los riesgos ambientales priorizados </w:t>
            </w:r>
            <w:r>
              <w:rPr>
                <w:rFonts w:ascii="Century Gothic" w:eastAsia="Century Gothic" w:hAnsi="Century Gothic" w:cs="Century Gothic"/>
              </w:rPr>
              <w:t>para la gestión integral de los mismos.</w:t>
            </w:r>
          </w:p>
        </w:tc>
        <w:tc>
          <w:tcPr>
            <w:tcW w:w="2268" w:type="dxa"/>
            <w:vAlign w:val="center"/>
          </w:tcPr>
          <w:p w14:paraId="0000005D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  <w:p w14:paraId="0000005E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Comunicaciones</w:t>
            </w:r>
          </w:p>
        </w:tc>
        <w:tc>
          <w:tcPr>
            <w:tcW w:w="2551" w:type="dxa"/>
            <w:vAlign w:val="center"/>
          </w:tcPr>
          <w:p w14:paraId="0000005F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comunicaciones del proceso de CGA</w:t>
            </w:r>
          </w:p>
        </w:tc>
      </w:tr>
      <w:tr w:rsidR="00685354" w14:paraId="52AD782B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0000060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10" w:type="dxa"/>
            <w:vAlign w:val="center"/>
          </w:tcPr>
          <w:p w14:paraId="00000061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238" w:type="dxa"/>
            <w:vAlign w:val="center"/>
          </w:tcPr>
          <w:p w14:paraId="00000062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00000063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Actualizar la Matriz de determinación y evaluación de riesgos ambientales anualmente. </w:t>
            </w:r>
          </w:p>
          <w:p w14:paraId="00000064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00000065" w14:textId="77777777" w:rsidR="00685354" w:rsidRDefault="00F53FA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Identificar las necesidades de cambio en la matriz e incluir, eliminar o realizar de nuevo la evaluación de riesgos ambientales según su pertinencia.</w:t>
            </w:r>
          </w:p>
        </w:tc>
        <w:tc>
          <w:tcPr>
            <w:tcW w:w="2268" w:type="dxa"/>
            <w:vAlign w:val="center"/>
          </w:tcPr>
          <w:p w14:paraId="00000066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Gesto</w:t>
            </w:r>
            <w:r>
              <w:rPr>
                <w:rFonts w:ascii="Century Gothic" w:eastAsia="Century Gothic" w:hAnsi="Century Gothic" w:cs="Century Gothic"/>
                <w:color w:val="000000"/>
              </w:rPr>
              <w:t>r ambiental</w:t>
            </w:r>
          </w:p>
        </w:tc>
        <w:tc>
          <w:tcPr>
            <w:tcW w:w="2551" w:type="dxa"/>
            <w:vAlign w:val="center"/>
          </w:tcPr>
          <w:p w14:paraId="00000067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Matriz de determinación y evaluación de riesgos ambientales</w:t>
            </w:r>
          </w:p>
        </w:tc>
      </w:tr>
    </w:tbl>
    <w:p w14:paraId="00000068" w14:textId="77777777" w:rsidR="00685354" w:rsidRDefault="00685354">
      <w:pPr>
        <w:rPr>
          <w:rFonts w:ascii="Century Gothic" w:eastAsia="Century Gothic" w:hAnsi="Century Gothic" w:cs="Century Gothic"/>
        </w:rPr>
      </w:pPr>
    </w:p>
    <w:tbl>
      <w:tblPr>
        <w:tblStyle w:val="aa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073"/>
        <w:gridCol w:w="1580"/>
        <w:gridCol w:w="2247"/>
      </w:tblGrid>
      <w:tr w:rsidR="00685354" w14:paraId="63E7F43E" w14:textId="77777777" w:rsidTr="00AC281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69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6A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6B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6C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685354" w14:paraId="5491DA92" w14:textId="77777777" w:rsidTr="00AC2816">
        <w:trPr>
          <w:trHeight w:val="5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Equipo de Cultura y Gestión Ambiental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11CC7307" w:rsidR="00685354" w:rsidRDefault="00AC28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  <w:r w:rsidR="00F53FAE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23A0E218" w:rsidR="00685354" w:rsidRDefault="00AC28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7A1B5472" w:rsidR="00685354" w:rsidRDefault="00AC2816" w:rsidP="00AC28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de 2021</w:t>
            </w:r>
          </w:p>
        </w:tc>
      </w:tr>
    </w:tbl>
    <w:p w14:paraId="00000074" w14:textId="77777777" w:rsidR="00685354" w:rsidRDefault="00685354">
      <w:pPr>
        <w:rPr>
          <w:rFonts w:ascii="Century Gothic" w:eastAsia="Century Gothic" w:hAnsi="Century Gothic" w:cs="Century Gothic"/>
          <w:b/>
        </w:rPr>
      </w:pPr>
    </w:p>
    <w:p w14:paraId="00000075" w14:textId="77777777" w:rsidR="00685354" w:rsidRDefault="00F53FAE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00000076" w14:textId="77777777" w:rsidR="00685354" w:rsidRDefault="00685354">
      <w:pPr>
        <w:rPr>
          <w:rFonts w:ascii="Century Gothic" w:eastAsia="Century Gothic" w:hAnsi="Century Gothic" w:cs="Century Gothic"/>
          <w:b/>
        </w:rPr>
      </w:pPr>
    </w:p>
    <w:tbl>
      <w:tblPr>
        <w:tblStyle w:val="ab"/>
        <w:tblW w:w="1006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4819"/>
      </w:tblGrid>
      <w:tr w:rsidR="00685354" w14:paraId="7A7AEA07" w14:textId="7777777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77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78" w14:textId="77777777" w:rsidR="00685354" w:rsidRDefault="00F53FA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85354" w14:paraId="58710A53" w14:textId="77777777">
        <w:trPr>
          <w:trHeight w:val="6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685354" w:rsidRDefault="00685354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685354" w:rsidRDefault="00685354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0000007B" w14:textId="77777777" w:rsidR="00685354" w:rsidRDefault="00685354">
      <w:pPr>
        <w:jc w:val="both"/>
        <w:rPr>
          <w:rFonts w:ascii="Century Gothic" w:eastAsia="Century Gothic" w:hAnsi="Century Gothic" w:cs="Century Gothic"/>
        </w:rPr>
      </w:pPr>
    </w:p>
    <w:p w14:paraId="0000007C" w14:textId="77777777" w:rsidR="00685354" w:rsidRDefault="00685354">
      <w:pPr>
        <w:rPr>
          <w:rFonts w:ascii="Century Gothic" w:eastAsia="Century Gothic" w:hAnsi="Century Gothic" w:cs="Century Gothic"/>
        </w:rPr>
      </w:pPr>
    </w:p>
    <w:sectPr w:rsidR="0068535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D48D" w14:textId="77777777" w:rsidR="00F53FAE" w:rsidRDefault="00F53FAE">
      <w:pPr>
        <w:spacing w:after="0" w:line="240" w:lineRule="auto"/>
      </w:pPr>
      <w:r>
        <w:separator/>
      </w:r>
    </w:p>
  </w:endnote>
  <w:endnote w:type="continuationSeparator" w:id="0">
    <w:p w14:paraId="426FA492" w14:textId="77777777" w:rsidR="00F53FAE" w:rsidRDefault="00F5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685354" w:rsidRDefault="00F53F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2615565</wp:posOffset>
          </wp:positionH>
          <wp:positionV relativeFrom="paragraph">
            <wp:posOffset>10160</wp:posOffset>
          </wp:positionV>
          <wp:extent cx="1533525" cy="52387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106" t="3415" r="38116" b="84086"/>
                  <a:stretch>
                    <a:fillRect/>
                  </a:stretch>
                </pic:blipFill>
                <pic:spPr>
                  <a:xfrm>
                    <a:off x="0" y="0"/>
                    <a:ext cx="15335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1472565</wp:posOffset>
          </wp:positionH>
          <wp:positionV relativeFrom="paragraph">
            <wp:posOffset>-216533</wp:posOffset>
          </wp:positionV>
          <wp:extent cx="1076960" cy="74485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9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CA31" w14:textId="77777777" w:rsidR="00F53FAE" w:rsidRDefault="00F53FAE">
      <w:pPr>
        <w:spacing w:after="0" w:line="240" w:lineRule="auto"/>
      </w:pPr>
      <w:r>
        <w:separator/>
      </w:r>
    </w:p>
  </w:footnote>
  <w:footnote w:type="continuationSeparator" w:id="0">
    <w:p w14:paraId="2540E955" w14:textId="77777777" w:rsidR="00F53FAE" w:rsidRDefault="00F5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685354" w:rsidRDefault="0068535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c"/>
      <w:tblW w:w="1020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3"/>
      <w:gridCol w:w="4678"/>
      <w:gridCol w:w="1174"/>
      <w:gridCol w:w="1832"/>
    </w:tblGrid>
    <w:tr w:rsidR="00685354" w14:paraId="7C836803" w14:textId="77777777">
      <w:trPr>
        <w:trHeight w:val="460"/>
      </w:trPr>
      <w:tc>
        <w:tcPr>
          <w:tcW w:w="2523" w:type="dxa"/>
          <w:vMerge w:val="restart"/>
          <w:vAlign w:val="center"/>
        </w:tcPr>
        <w:p w14:paraId="0000007E" w14:textId="77777777" w:rsidR="00685354" w:rsidRDefault="00F53FA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250950" cy="570865"/>
                <wp:effectExtent l="0" t="0" r="0" b="0"/>
                <wp:docPr id="5" name="image1.jpg" descr="lotip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tip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0000007F" w14:textId="77777777" w:rsidR="00685354" w:rsidRDefault="00F53F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UNIVERSIDAD CATÓLICA DE MANIZALES</w:t>
          </w:r>
        </w:p>
        <w:p w14:paraId="00000080" w14:textId="77777777" w:rsidR="00685354" w:rsidRDefault="006853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00000081" w14:textId="77777777" w:rsidR="00685354" w:rsidRDefault="00F53FAE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PROCEDIMIENTO PARA LA DETERMINACIÓN Y EVALUACIÓN DE RIESGOS AMBIENTALES</w:t>
          </w:r>
        </w:p>
      </w:tc>
      <w:tc>
        <w:tcPr>
          <w:tcW w:w="1174" w:type="dxa"/>
          <w:vAlign w:val="center"/>
        </w:tcPr>
        <w:p w14:paraId="00000082" w14:textId="77777777" w:rsidR="00685354" w:rsidRDefault="00F53F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Código</w:t>
          </w:r>
        </w:p>
      </w:tc>
      <w:tc>
        <w:tcPr>
          <w:tcW w:w="1832" w:type="dxa"/>
          <w:vAlign w:val="center"/>
        </w:tcPr>
        <w:p w14:paraId="00000083" w14:textId="77777777" w:rsidR="00685354" w:rsidRDefault="00F53F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SCGA-P-</w:t>
          </w:r>
          <w:r>
            <w:rPr>
              <w:rFonts w:ascii="Century Gothic" w:eastAsia="Century Gothic" w:hAnsi="Century Gothic" w:cs="Century Gothic"/>
              <w:b/>
            </w:rPr>
            <w:t>4</w:t>
          </w:r>
        </w:p>
      </w:tc>
    </w:tr>
    <w:tr w:rsidR="00685354" w14:paraId="583A4555" w14:textId="77777777">
      <w:trPr>
        <w:trHeight w:val="460"/>
      </w:trPr>
      <w:tc>
        <w:tcPr>
          <w:tcW w:w="2523" w:type="dxa"/>
          <w:vMerge/>
          <w:vAlign w:val="center"/>
        </w:tcPr>
        <w:p w14:paraId="00000084" w14:textId="77777777" w:rsidR="00685354" w:rsidRDefault="006853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00000085" w14:textId="77777777" w:rsidR="00685354" w:rsidRDefault="006853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0000086" w14:textId="77777777" w:rsidR="00685354" w:rsidRDefault="00F53F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Versión</w:t>
          </w:r>
        </w:p>
      </w:tc>
      <w:tc>
        <w:tcPr>
          <w:tcW w:w="1832" w:type="dxa"/>
          <w:vAlign w:val="center"/>
        </w:tcPr>
        <w:p w14:paraId="00000087" w14:textId="77777777" w:rsidR="00685354" w:rsidRDefault="00F53F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685354" w14:paraId="4E82ACAA" w14:textId="77777777">
      <w:trPr>
        <w:trHeight w:val="460"/>
      </w:trPr>
      <w:tc>
        <w:tcPr>
          <w:tcW w:w="2523" w:type="dxa"/>
          <w:vMerge/>
          <w:vAlign w:val="center"/>
        </w:tcPr>
        <w:p w14:paraId="00000088" w14:textId="77777777" w:rsidR="00685354" w:rsidRDefault="006853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4678" w:type="dxa"/>
          <w:vMerge/>
          <w:vAlign w:val="center"/>
        </w:tcPr>
        <w:p w14:paraId="00000089" w14:textId="77777777" w:rsidR="00685354" w:rsidRDefault="0068535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174" w:type="dxa"/>
          <w:vAlign w:val="center"/>
        </w:tcPr>
        <w:p w14:paraId="0000008A" w14:textId="77777777" w:rsidR="00685354" w:rsidRDefault="00F53F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Página</w:t>
          </w:r>
        </w:p>
      </w:tc>
      <w:tc>
        <w:tcPr>
          <w:tcW w:w="1832" w:type="dxa"/>
          <w:vAlign w:val="center"/>
        </w:tcPr>
        <w:p w14:paraId="0000008B" w14:textId="60E99A2C" w:rsidR="00685354" w:rsidRDefault="00F53FAE">
          <w:pPr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 w:rsidR="00AC2816">
            <w:rPr>
              <w:rFonts w:ascii="Century Gothic" w:eastAsia="Century Gothic" w:hAnsi="Century Gothic" w:cs="Century Gothic"/>
              <w:b/>
              <w:noProof/>
            </w:rPr>
            <w:t>1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  <w:r>
            <w:rPr>
              <w:rFonts w:ascii="Century Gothic" w:eastAsia="Century Gothic" w:hAnsi="Century Gothic" w:cs="Century Gothic"/>
              <w:b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</w:rPr>
            <w:fldChar w:fldCharType="separate"/>
          </w:r>
          <w:r w:rsidR="00AC2816">
            <w:rPr>
              <w:rFonts w:ascii="Century Gothic" w:eastAsia="Century Gothic" w:hAnsi="Century Gothic" w:cs="Century Gothic"/>
              <w:b/>
              <w:noProof/>
            </w:rPr>
            <w:t>2</w:t>
          </w:r>
          <w:r>
            <w:rPr>
              <w:rFonts w:ascii="Century Gothic" w:eastAsia="Century Gothic" w:hAnsi="Century Gothic" w:cs="Century Gothic"/>
              <w:b/>
            </w:rPr>
            <w:fldChar w:fldCharType="end"/>
          </w:r>
        </w:p>
      </w:tc>
    </w:tr>
  </w:tbl>
  <w:p w14:paraId="0000008C" w14:textId="77777777" w:rsidR="00685354" w:rsidRDefault="006853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54"/>
    <w:rsid w:val="00685354"/>
    <w:rsid w:val="00AC2816"/>
    <w:rsid w:val="00F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9759"/>
  <w15:docId w15:val="{EDF965A8-2D10-40F3-8939-D5E119E7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2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5C"/>
  </w:style>
  <w:style w:type="paragraph" w:styleId="Piedepgina">
    <w:name w:val="footer"/>
    <w:basedOn w:val="Normal"/>
    <w:link w:val="PiedepginaCar"/>
    <w:uiPriority w:val="99"/>
    <w:unhideWhenUsed/>
    <w:rsid w:val="00242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5C"/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NBDnrdDsEojP1NaDEdEO+v/FPA==">AMUW2mVXDkWgnp+ec7AG25G3Che3IuQxXWC1KKScBpk6sZ8XvcDWbnmqryi5+4LHzV0Rl+afYscyBpdeQz2E84hPh/w8p2MOKpXPZV3Mg+f1VdXJm+a8u322z+vbi0bykXLwZUaGKR/2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Gestor Ambiental</cp:lastModifiedBy>
  <cp:revision>2</cp:revision>
  <dcterms:created xsi:type="dcterms:W3CDTF">2021-03-23T15:24:00Z</dcterms:created>
  <dcterms:modified xsi:type="dcterms:W3CDTF">2021-07-29T16:36:00Z</dcterms:modified>
</cp:coreProperties>
</file>