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04" w:rsidRDefault="00277B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277B04">
        <w:trPr>
          <w:trHeight w:val="426"/>
          <w:jc w:val="center"/>
        </w:trPr>
        <w:tc>
          <w:tcPr>
            <w:tcW w:w="1830" w:type="dxa"/>
            <w:shd w:val="clear" w:color="auto" w:fill="D9D9D9"/>
            <w:vAlign w:val="center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35" w:type="dxa"/>
            <w:shd w:val="clear" w:color="auto" w:fill="auto"/>
            <w:vAlign w:val="center"/>
          </w:tcPr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la preparación y respuesta de la institución ante eventos potencialmente peligrosos y emergencias ambientales.</w:t>
            </w:r>
          </w:p>
        </w:tc>
      </w:tr>
    </w:tbl>
    <w:p w:rsidR="00277B04" w:rsidRDefault="00277B04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277B04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35" w:type="dxa"/>
            <w:shd w:val="clear" w:color="auto" w:fill="auto"/>
          </w:tcPr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el a</w:t>
            </w:r>
            <w:r>
              <w:rPr>
                <w:rFonts w:ascii="Century Gothic" w:eastAsia="Century Gothic" w:hAnsi="Century Gothic" w:cs="Century Gothic"/>
              </w:rPr>
              <w:t xml:space="preserve">nálisis de las fuentes generadoras de riesgos ambientales y sus consecuencias potenciales, incluye la realización de simulacros, capacitaciones y/o atención de eventos y emergencias ambientales y finaliza con el registro de estas actividades en un informe </w:t>
            </w:r>
            <w:r>
              <w:rPr>
                <w:rFonts w:ascii="Century Gothic" w:eastAsia="Century Gothic" w:hAnsi="Century Gothic" w:cs="Century Gothic"/>
              </w:rPr>
              <w:t>y la evaluación del simulacro de evacuación.</w:t>
            </w:r>
          </w:p>
        </w:tc>
      </w:tr>
    </w:tbl>
    <w:p w:rsidR="00277B04" w:rsidRDefault="00277B04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8190"/>
      </w:tblGrid>
      <w:tr w:rsidR="00277B04">
        <w:trPr>
          <w:jc w:val="center"/>
        </w:trPr>
        <w:tc>
          <w:tcPr>
            <w:tcW w:w="1875" w:type="dxa"/>
            <w:shd w:val="clear" w:color="auto" w:fill="D9D9D9"/>
            <w:vAlign w:val="center"/>
          </w:tcPr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190" w:type="dxa"/>
            <w:shd w:val="clear" w:color="auto" w:fill="auto"/>
          </w:tcPr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Riesgo ambiental: </w:t>
            </w:r>
            <w:r>
              <w:rPr>
                <w:rFonts w:ascii="Century Gothic" w:eastAsia="Century Gothic" w:hAnsi="Century Gothic" w:cs="Century Gothic"/>
              </w:rPr>
              <w:t>Resultado de una función que relaciona la probabilidad de ocurrencia de un determinado escenario de accidente y las consecuencias negativas del mismo sobre el entorno natural, humano, cultural y/o socioeconómico (Asociación Española de Normalización, 2009)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Evento:</w:t>
            </w:r>
            <w:r>
              <w:rPr>
                <w:rFonts w:ascii="Century Gothic" w:eastAsia="Century Gothic" w:hAnsi="Century Gothic" w:cs="Century Gothic"/>
              </w:rPr>
              <w:t xml:space="preserve"> Es un fenómeno - natural, socio-natural o tecnológico - que actúa como el detonante de los efectos adversos sobre las vidas humanas, la salud y/o la infraestructura económica y social y ambiental de un territorio (OSSO &amp; LA RED, 2009).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Potencialmente peligrosos: </w:t>
            </w:r>
            <w:r>
              <w:rPr>
                <w:rFonts w:ascii="Century Gothic" w:eastAsia="Century Gothic" w:hAnsi="Century Gothic" w:cs="Century Gothic"/>
              </w:rPr>
              <w:t xml:space="preserve">Aquel proceso, operación, equipo o actividad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que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en ausencia de medidas preventivas específicas, originen riesgos para la seguridad y salud de los trabajadores que los desarrollan o utilizan (Gobierno de España, 2021).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202124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Agente de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riesgo: </w:t>
            </w:r>
            <w:r>
              <w:rPr>
                <w:rFonts w:ascii="Century Gothic" w:eastAsia="Century Gothic" w:hAnsi="Century Gothic" w:cs="Century Gothic"/>
              </w:rPr>
              <w:t xml:space="preserve">Son todos aquellos objetos, instrumentos, instalaciones, ambiente, acciones humanas, que están en capacidad de producir lesiones, daños en las instalaciones, materiales, procesos y medio ambiente (ARL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</w:rPr>
              <w:t>SURA,s</w:t>
            </w:r>
            <w:proofErr w:type="gramEnd"/>
            <w:r>
              <w:rPr>
                <w:rFonts w:ascii="Century Gothic" w:eastAsia="Century Gothic" w:hAnsi="Century Gothic" w:cs="Century Gothic"/>
              </w:rPr>
              <w:t>.f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Consecuencias potenciales:  </w:t>
            </w:r>
            <w:r>
              <w:rPr>
                <w:rFonts w:ascii="Century Gothic" w:eastAsia="Century Gothic" w:hAnsi="Century Gothic" w:cs="Century Gothic"/>
              </w:rPr>
              <w:t>Result</w:t>
            </w:r>
            <w:r>
              <w:rPr>
                <w:rFonts w:ascii="Century Gothic" w:eastAsia="Century Gothic" w:hAnsi="Century Gothic" w:cs="Century Gothic"/>
              </w:rPr>
              <w:t>ado o impacto de un evento (GTC,2009).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Receptor: </w:t>
            </w:r>
            <w:r>
              <w:rPr>
                <w:rFonts w:ascii="Century Gothic" w:eastAsia="Century Gothic" w:hAnsi="Century Gothic" w:cs="Century Gothic"/>
              </w:rPr>
              <w:t>Hace referencia a la entidad ecológica expuesta al agente tensionante, es decir, el receptor se puede referir a aquellos componentes específicos del ambiente sometidos a estudio que pueden sufrir el impacto</w:t>
            </w:r>
            <w:r>
              <w:rPr>
                <w:rFonts w:ascii="Century Gothic" w:eastAsia="Century Gothic" w:hAnsi="Century Gothic" w:cs="Century Gothic"/>
              </w:rPr>
              <w:t xml:space="preserve"> (GTC 104, 2009).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Emergencia: 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 una atención de forma urgente y totalmente imprevista, ya sea por causa de accidente o suceso inesperado (</w:t>
            </w:r>
            <w:r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</w:rPr>
              <w:t>oncepto, 2018).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Emergencia Ambiental: </w:t>
            </w:r>
            <w:r>
              <w:rPr>
                <w:rFonts w:ascii="Century Gothic" w:eastAsia="Century Gothic" w:hAnsi="Century Gothic" w:cs="Century Gothic"/>
              </w:rPr>
              <w:t>Situación generada por la ocurrencia real o inminente de un evento adverso que por su probabilidad, efecto, magnitud, intensidad y extensión puede afectar el bienestar del medio ambiente o la salud pública y que puede ser de origen natural o antrópico, deb</w:t>
            </w:r>
            <w:r>
              <w:rPr>
                <w:rFonts w:ascii="Century Gothic" w:eastAsia="Century Gothic" w:hAnsi="Century Gothic" w:cs="Century Gothic"/>
              </w:rPr>
              <w:t>ido a diferentes causas. Estas emergencias pueden suceder por accidentes de transporte, por incidentes laborales o en uso de prácticas de docencia, investigación y extensión, uso o fabricación de sustancias químicas, o como resultado de un desastre natural</w:t>
            </w:r>
            <w:r>
              <w:rPr>
                <w:rFonts w:ascii="Century Gothic" w:eastAsia="Century Gothic" w:hAnsi="Century Gothic" w:cs="Century Gothic"/>
              </w:rPr>
              <w:t xml:space="preserve"> o cualquier otra acción del ser humano (Universidad Nacional de Colombia, 2015).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Gestión del riesgo ambiental: </w:t>
            </w:r>
            <w:r>
              <w:rPr>
                <w:rFonts w:ascii="Century Gothic" w:eastAsia="Century Gothic" w:hAnsi="Century Gothic" w:cs="Century Gothic"/>
              </w:rPr>
              <w:t>Secuencia de actividades humanas que incluyen evaluación de los riesgos ambientales, estrategias de desarrollo para prevenir, manejar y mitigar</w:t>
            </w:r>
            <w:r>
              <w:rPr>
                <w:rFonts w:ascii="Century Gothic" w:eastAsia="Century Gothic" w:hAnsi="Century Gothic" w:cs="Century Gothic"/>
              </w:rPr>
              <w:t xml:space="preserve"> el riesgo utilizando diversos recursos. Las estrategias incluyen transferir el riesgo a otra parte, evadir el riesgo, reducir los efectos negativos del riesgo y aceptar algunas o todas las consecuencias de un riesgo particular (Universidad Nacional de Col</w:t>
            </w:r>
            <w:r>
              <w:rPr>
                <w:rFonts w:ascii="Century Gothic" w:eastAsia="Century Gothic" w:hAnsi="Century Gothic" w:cs="Century Gothic"/>
              </w:rPr>
              <w:t>ombia, 2015).</w:t>
            </w: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Preparación:</w:t>
            </w:r>
            <w:r>
              <w:rPr>
                <w:rFonts w:ascii="Century Gothic" w:eastAsia="Century Gothic" w:hAnsi="Century Gothic" w:cs="Century Gothic"/>
              </w:rPr>
              <w:t xml:space="preserve"> Es el conjunto de acciones principalmente de coordinación, sistemas de alerta, capacitación, equipamiento, centros de reserva y albergues y entrenamiento, con el propósito de optimizar la ejecución de los diferentes servicios bás</w:t>
            </w:r>
            <w:r>
              <w:rPr>
                <w:rFonts w:ascii="Century Gothic" w:eastAsia="Century Gothic" w:hAnsi="Century Gothic" w:cs="Century Gothic"/>
              </w:rPr>
              <w:t>icos de respuesta, como accesibilidad y transporte, telecomunicaciones, evaluación de daños y análisis de necesidades, salud y saneamiento básico, búsqueda y rescate, extinción de incendios y manejo de materiales peligrosos, albergues y alimentación, servi</w:t>
            </w:r>
            <w:r>
              <w:rPr>
                <w:rFonts w:ascii="Century Gothic" w:eastAsia="Century Gothic" w:hAnsi="Century Gothic" w:cs="Century Gothic"/>
              </w:rPr>
              <w:t>cios públicos, seguridad y convivencia, aspectos financieros y legales, información pública y el manejo general de la respuesta, entre otros (Ley 1523 de 2012).</w:t>
            </w:r>
          </w:p>
          <w:p w:rsidR="00277B04" w:rsidRDefault="0027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Respuesta: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Ejecución de las actividades necesarias para la atención de la emergencia como acce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sibilidad y transporte, telecomunicaciones, evaluación de daños y análisis de necesidades, salud y saneamiento básico, búsqueda y rescate, extinción de incendios y manejo de materiales peligrosos, albergues y alimentación, servicios públicos, seguridad y c</w:t>
            </w:r>
            <w:r>
              <w:rPr>
                <w:rFonts w:ascii="Century Gothic" w:eastAsia="Century Gothic" w:hAnsi="Century Gothic" w:cs="Century Gothic"/>
                <w:color w:val="000000"/>
              </w:rPr>
              <w:t>onvivencia, aspectos financieros y legales, información pública y el manejo general de la respuesta, entre otros. La efectividad de la respuesta depende de la calidad de preparación (Ley 1523 de 2012).</w:t>
            </w:r>
          </w:p>
        </w:tc>
      </w:tr>
    </w:tbl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"/>
        <w:gridCol w:w="4238"/>
        <w:gridCol w:w="2268"/>
        <w:gridCol w:w="2551"/>
      </w:tblGrid>
      <w:tr w:rsidR="00277B04">
        <w:trPr>
          <w:jc w:val="center"/>
        </w:trPr>
        <w:tc>
          <w:tcPr>
            <w:tcW w:w="10129" w:type="dxa"/>
            <w:gridSpan w:val="5"/>
            <w:shd w:val="clear" w:color="auto" w:fill="D9D9D9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277B04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10" w:type="dxa"/>
            <w:shd w:val="clear" w:color="auto" w:fill="D9D9D9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77B04" w:rsidRDefault="008E5D0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277B04">
        <w:trPr>
          <w:trHeight w:val="70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Analizar las fuentes generadoras de riesgos ambientales y sus consecuencias potenciales.</w:t>
            </w:r>
          </w:p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Basados en la Matriz de determinación y evaluación de riesgos ambientales se analizan los riesgos ambientales priorizados, las áreas donde se ubican las fuentes de generación de estos y sus consecuencias potenciales. 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SCGA-F-06 Matriz de </w:t>
            </w:r>
            <w:r>
              <w:rPr>
                <w:rFonts w:ascii="Century Gothic" w:eastAsia="Century Gothic" w:hAnsi="Century Gothic" w:cs="Century Gothic"/>
              </w:rPr>
              <w:t>determinación y evaluación de riesgos ambientales.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análisis del riesgo de emergencias - SST.</w:t>
            </w:r>
          </w:p>
        </w:tc>
      </w:tr>
      <w:tr w:rsidR="00277B04">
        <w:trPr>
          <w:trHeight w:val="70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Zonificar el riesgo.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Zonificar los riesgos ambientales priorizados en el campus UCM a través de mapas.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Mapas de zonificación del riesgo.</w:t>
            </w:r>
          </w:p>
        </w:tc>
      </w:tr>
      <w:tr w:rsidR="00277B04">
        <w:trPr>
          <w:trHeight w:val="70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las acciones para la atención de eventos y emergencias ambientales.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Con base en los riesgos ambientales priorizados y sus consecuencias potenci</w:t>
            </w:r>
            <w:r>
              <w:rPr>
                <w:rFonts w:ascii="Century Gothic" w:eastAsia="Century Gothic" w:hAnsi="Century Gothic" w:cs="Century Gothic"/>
              </w:rPr>
              <w:t xml:space="preserve">ales, se determinan las acciones para atender los eventos potencialmente peligrosos y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las  emergencias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ambientales.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Gestor ambiental.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el trabajo.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Procedimientos operativos normalizados (PON).</w:t>
            </w:r>
          </w:p>
        </w:tc>
      </w:tr>
      <w:tr w:rsidR="00277B04">
        <w:trPr>
          <w:trHeight w:val="70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Realizar simulacros y capacitaciones de eventos potencialmente peligrosos y emergencias ambientales potenciales.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Para garantizar la preparación y respuesta ante eventos y/o emergencias ambientales, se plantean las actividades de aprendizaje de</w:t>
            </w:r>
            <w:r>
              <w:rPr>
                <w:rFonts w:ascii="Century Gothic" w:eastAsia="Century Gothic" w:hAnsi="Century Gothic" w:cs="Century Gothic"/>
              </w:rPr>
              <w:t xml:space="preserve"> medidas de prevención y de protección en las situaciones potenciales de eventos y emergencias ambientales.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el trabajo.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Comité de gestión del riesgo.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del Comité de gestión del riesgo.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ev</w:t>
            </w:r>
            <w:r>
              <w:rPr>
                <w:rFonts w:ascii="Century Gothic" w:eastAsia="Century Gothic" w:hAnsi="Century Gothic" w:cs="Century Gothic"/>
              </w:rPr>
              <w:t>entos potencialmente peligrosos y emergencias ambientales.</w:t>
            </w:r>
          </w:p>
        </w:tc>
      </w:tr>
      <w:tr w:rsidR="00277B04">
        <w:trPr>
          <w:trHeight w:val="70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Atender las situaciones de eventos potencialmente peligrosos y emergencias ambientales.</w:t>
            </w:r>
          </w:p>
          <w:p w:rsidR="00277B04" w:rsidRDefault="00277B04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:rsidR="00277B04" w:rsidRDefault="008E5D0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En caso de presentarse un evento y/o emergencia ambiental, se realiza el de</w:t>
            </w:r>
            <w:r>
              <w:rPr>
                <w:rFonts w:ascii="Century Gothic" w:eastAsia="Century Gothic" w:hAnsi="Century Gothic" w:cs="Century Gothic"/>
              </w:rPr>
              <w:t>spliegue establecido en el Plan Operativo de Atención a Emergencias y/o demás protocolos y</w:t>
            </w:r>
            <w:r>
              <w:rPr>
                <w:rFonts w:ascii="Century Gothic" w:eastAsia="Century Gothic" w:hAnsi="Century Gothic" w:cs="Century Gothic"/>
              </w:rPr>
              <w:t xml:space="preserve"> procedimientos dispuestos.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el trabajo.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Coordinadora Laboratorios CALER.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Operativo de Atención a Emergenci</w:t>
            </w:r>
            <w:r>
              <w:rPr>
                <w:rFonts w:ascii="Century Gothic" w:eastAsia="Century Gothic" w:hAnsi="Century Gothic" w:cs="Century Gothic"/>
              </w:rPr>
              <w:t>as.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Protocolos: </w:t>
            </w:r>
            <w:hyperlink r:id="rId6">
              <w:r>
                <w:rPr>
                  <w:rFonts w:ascii="Century Gothic" w:eastAsia="Century Gothic" w:hAnsi="Century Gothic" w:cs="Century Gothic"/>
                </w:rPr>
                <w:t>GRE-PR-3 Protocolo en caso de accidentes en el laboratorio</w:t>
              </w:r>
            </w:hyperlink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Procedimientos operativos normalizados (PON).</w:t>
            </w:r>
          </w:p>
        </w:tc>
      </w:tr>
      <w:tr w:rsidR="00277B04">
        <w:trPr>
          <w:trHeight w:val="2004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6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Registrar las actividades de simulacro, capacitaciones y la atención de eventos potencialmente peligrosos y emergencias ambientales.</w:t>
            </w:r>
          </w:p>
          <w:p w:rsidR="00277B04" w:rsidRDefault="00277B04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En el formato Informe de eventos potencialmente peligrosos y emergencias ambientales, registrar la informació</w:t>
            </w:r>
            <w:r>
              <w:rPr>
                <w:rFonts w:ascii="Century Gothic" w:eastAsia="Century Gothic" w:hAnsi="Century Gothic" w:cs="Century Gothic"/>
              </w:rPr>
              <w:t>n general, las indicaciones de seguridad, las asignaciones y el reporte de novedades.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eventos potencialmente peligrosos y emergencias ambientales.</w:t>
            </w:r>
          </w:p>
        </w:tc>
      </w:tr>
      <w:tr w:rsidR="00277B04">
        <w:trPr>
          <w:trHeight w:val="2004"/>
          <w:jc w:val="center"/>
        </w:trPr>
        <w:tc>
          <w:tcPr>
            <w:tcW w:w="562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10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Evaluar el simulacro de evacuación. </w:t>
            </w:r>
          </w:p>
          <w:p w:rsidR="00277B04" w:rsidRDefault="008E5D09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:rsidR="00277B04" w:rsidRDefault="008E5D0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presentarse simulacros de evacuación en el marco de las actividades establecidas en el punto No. 3, diligenciar el formato de Evaluación de simulacro de evacuación.</w:t>
            </w:r>
          </w:p>
        </w:tc>
        <w:tc>
          <w:tcPr>
            <w:tcW w:w="2268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Observador.</w:t>
            </w:r>
          </w:p>
        </w:tc>
        <w:tc>
          <w:tcPr>
            <w:tcW w:w="2551" w:type="dxa"/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de simulacro de evacuación- SURA.</w:t>
            </w:r>
          </w:p>
        </w:tc>
      </w:tr>
    </w:tbl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10062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700"/>
        <w:gridCol w:w="2310"/>
        <w:gridCol w:w="2247"/>
      </w:tblGrid>
      <w:tr w:rsidR="00277B04" w:rsidTr="008E5D09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277B04" w:rsidTr="008E5D09">
        <w:trPr>
          <w:trHeight w:val="5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Dirección de Aseguramiento de la Calidad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04" w:rsidRDefault="008E5D09" w:rsidP="008E5D0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p w:rsidR="008E5D09" w:rsidRDefault="008E5D09">
      <w:pPr>
        <w:rPr>
          <w:rFonts w:ascii="Century Gothic" w:eastAsia="Century Gothic" w:hAnsi="Century Gothic" w:cs="Century Gothic"/>
          <w:b/>
        </w:rPr>
      </w:pPr>
    </w:p>
    <w:p w:rsidR="008E5D09" w:rsidRDefault="008E5D09">
      <w:pPr>
        <w:rPr>
          <w:rFonts w:ascii="Century Gothic" w:eastAsia="Century Gothic" w:hAnsi="Century Gothic" w:cs="Century Gothic"/>
          <w:b/>
        </w:rPr>
      </w:pPr>
    </w:p>
    <w:p w:rsidR="00277B04" w:rsidRDefault="008E5D09">
      <w:pPr>
        <w:rPr>
          <w:rFonts w:ascii="Century Gothic" w:eastAsia="Century Gothic" w:hAnsi="Century Gothic" w:cs="Century Gothic"/>
          <w:b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</w:rPr>
        <w:lastRenderedPageBreak/>
        <w:t>CONTROL DE CAMBIOS</w:t>
      </w:r>
    </w:p>
    <w:p w:rsidR="00277B04" w:rsidRDefault="00277B04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10080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5400"/>
      </w:tblGrid>
      <w:tr w:rsidR="00277B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7B04" w:rsidRDefault="008E5D0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277B04">
        <w:trPr>
          <w:trHeight w:val="64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4" w:rsidRDefault="00277B0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4" w:rsidRDefault="00277B0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277B04" w:rsidRDefault="00277B04">
      <w:pPr>
        <w:spacing w:after="0"/>
        <w:rPr>
          <w:rFonts w:ascii="Century Gothic" w:eastAsia="Century Gothic" w:hAnsi="Century Gothic" w:cs="Century Gothic"/>
        </w:rPr>
      </w:pPr>
    </w:p>
    <w:sectPr w:rsidR="00277B04">
      <w:headerReference w:type="default" r:id="rId7"/>
      <w:footerReference w:type="default" r:id="rId8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5D09">
      <w:pPr>
        <w:spacing w:after="0" w:line="240" w:lineRule="auto"/>
      </w:pPr>
      <w:r>
        <w:separator/>
      </w:r>
    </w:p>
  </w:endnote>
  <w:endnote w:type="continuationSeparator" w:id="0">
    <w:p w:rsidR="00000000" w:rsidRDefault="008E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B04" w:rsidRDefault="008E5D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2857500</wp:posOffset>
          </wp:positionH>
          <wp:positionV relativeFrom="paragraph">
            <wp:posOffset>-231774</wp:posOffset>
          </wp:positionV>
          <wp:extent cx="1762125" cy="5715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9106" t="3415" r="38117" b="84086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1714500</wp:posOffset>
          </wp:positionH>
          <wp:positionV relativeFrom="paragraph">
            <wp:posOffset>-476249</wp:posOffset>
          </wp:positionV>
          <wp:extent cx="1237615" cy="8128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5D09">
      <w:pPr>
        <w:spacing w:after="0" w:line="240" w:lineRule="auto"/>
      </w:pPr>
      <w:r>
        <w:separator/>
      </w:r>
    </w:p>
  </w:footnote>
  <w:footnote w:type="continuationSeparator" w:id="0">
    <w:p w:rsidR="00000000" w:rsidRDefault="008E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B04" w:rsidRDefault="00277B0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277B04">
      <w:trPr>
        <w:trHeight w:val="460"/>
      </w:trPr>
      <w:tc>
        <w:tcPr>
          <w:tcW w:w="2268" w:type="dxa"/>
          <w:vMerge w:val="restart"/>
          <w:vAlign w:val="center"/>
        </w:tcPr>
        <w:p w:rsidR="00277B04" w:rsidRDefault="008E5D0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50950" cy="570865"/>
                <wp:effectExtent l="0" t="0" r="0" b="0"/>
                <wp:docPr id="2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:rsidR="00277B04" w:rsidRDefault="00277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</w:t>
          </w:r>
          <w:r>
            <w:rPr>
              <w:rFonts w:ascii="Century Gothic" w:eastAsia="Century Gothic" w:hAnsi="Century Gothic" w:cs="Century Gothic"/>
              <w:b/>
            </w:rPr>
            <w:t xml:space="preserve"> PARA LA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PREPARACIÓN Y RESPUESTA ANTE </w:t>
          </w:r>
          <w:r>
            <w:rPr>
              <w:rFonts w:ascii="Century Gothic" w:eastAsia="Century Gothic" w:hAnsi="Century Gothic" w:cs="Century Gothic"/>
              <w:b/>
            </w:rPr>
            <w:t xml:space="preserve">EVENTOS POTENCIALMENTE PELIGROSOS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Y EMERGENCIAS AMBIENTALES</w:t>
          </w:r>
        </w:p>
      </w:tc>
      <w:tc>
        <w:tcPr>
          <w:tcW w:w="1174" w:type="dxa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SCGA-P-1</w:t>
          </w:r>
          <w:r>
            <w:rPr>
              <w:rFonts w:ascii="Century Gothic" w:eastAsia="Century Gothic" w:hAnsi="Century Gothic" w:cs="Century Gothic"/>
              <w:b/>
            </w:rPr>
            <w:t>2</w:t>
          </w:r>
        </w:p>
      </w:tc>
    </w:tr>
    <w:tr w:rsidR="00277B04">
      <w:trPr>
        <w:trHeight w:val="460"/>
      </w:trPr>
      <w:tc>
        <w:tcPr>
          <w:tcW w:w="2268" w:type="dxa"/>
          <w:vMerge/>
          <w:vAlign w:val="center"/>
        </w:tcPr>
        <w:p w:rsidR="00277B04" w:rsidRDefault="00277B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:rsidR="00277B04" w:rsidRDefault="00277B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277B04">
      <w:trPr>
        <w:trHeight w:val="460"/>
      </w:trPr>
      <w:tc>
        <w:tcPr>
          <w:tcW w:w="2268" w:type="dxa"/>
          <w:vMerge/>
          <w:vAlign w:val="center"/>
        </w:tcPr>
        <w:p w:rsidR="00277B04" w:rsidRDefault="00277B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:rsidR="00277B04" w:rsidRDefault="00277B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:rsidR="00277B04" w:rsidRDefault="008E5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:rsidR="00277B04" w:rsidRDefault="008E5D09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:rsidR="00277B04" w:rsidRDefault="00277B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04"/>
    <w:rsid w:val="00277B04"/>
    <w:rsid w:val="008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C681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m.edu.co/sig/wp-content/uploads/docs/macroprocesos_apoyo/gre/gre-pr-3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López Arcila</cp:lastModifiedBy>
  <cp:revision>2</cp:revision>
  <dcterms:created xsi:type="dcterms:W3CDTF">2021-07-29T20:11:00Z</dcterms:created>
  <dcterms:modified xsi:type="dcterms:W3CDTF">2021-07-29T20:14:00Z</dcterms:modified>
</cp:coreProperties>
</file>