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03" w:rsidRDefault="00AA1F03">
      <w:pPr>
        <w:widowControl w:val="0"/>
        <w:pBdr>
          <w:top w:val="nil"/>
          <w:left w:val="nil"/>
          <w:bottom w:val="nil"/>
          <w:right w:val="nil"/>
          <w:between w:val="nil"/>
        </w:pBdr>
        <w:spacing w:after="0"/>
        <w:rPr>
          <w:rFonts w:ascii="Arial" w:eastAsia="Arial" w:hAnsi="Arial" w:cs="Arial"/>
          <w:color w:val="000000"/>
        </w:rPr>
      </w:pPr>
    </w:p>
    <w:tbl>
      <w:tblPr>
        <w:tblStyle w:val="a"/>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69"/>
      </w:tblGrid>
      <w:tr w:rsidR="00AA1F03">
        <w:trPr>
          <w:jc w:val="center"/>
        </w:trPr>
        <w:tc>
          <w:tcPr>
            <w:tcW w:w="1696" w:type="dxa"/>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369" w:type="dxa"/>
            <w:shd w:val="clear" w:color="auto" w:fill="auto"/>
          </w:tcPr>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t>Establecer las acciones requeridas para garantizar la gestión integral de los residuos peligrosos y especiales posconsumo del Punto ecológico.</w:t>
            </w:r>
          </w:p>
        </w:tc>
      </w:tr>
    </w:tbl>
    <w:p w:rsidR="00AA1F03" w:rsidRDefault="00AA1F03">
      <w:pPr>
        <w:spacing w:after="0"/>
        <w:rPr>
          <w:rFonts w:ascii="Century Gothic" w:eastAsia="Century Gothic" w:hAnsi="Century Gothic" w:cs="Century Gothic"/>
          <w:b/>
        </w:rPr>
      </w:pPr>
    </w:p>
    <w:tbl>
      <w:tblPr>
        <w:tblStyle w:val="a0"/>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69"/>
      </w:tblGrid>
      <w:tr w:rsidR="00AA1F03">
        <w:trPr>
          <w:jc w:val="center"/>
        </w:trPr>
        <w:tc>
          <w:tcPr>
            <w:tcW w:w="1696" w:type="dxa"/>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ALCANCE</w:t>
            </w:r>
          </w:p>
        </w:tc>
        <w:tc>
          <w:tcPr>
            <w:tcW w:w="8369" w:type="dxa"/>
            <w:shd w:val="clear" w:color="auto" w:fill="auto"/>
          </w:tcPr>
          <w:p w:rsidR="00AA1F03" w:rsidRDefault="00500B73">
            <w:pPr>
              <w:spacing w:after="0"/>
              <w:jc w:val="both"/>
              <w:rPr>
                <w:rFonts w:ascii="Century Gothic" w:eastAsia="Century Gothic" w:hAnsi="Century Gothic" w:cs="Century Gothic"/>
                <w:highlight w:val="yellow"/>
              </w:rPr>
            </w:pPr>
            <w:bookmarkStart w:id="0" w:name="_heading=h.gjdgxs" w:colFirst="0" w:colLast="0"/>
            <w:bookmarkEnd w:id="0"/>
            <w:r>
              <w:rPr>
                <w:rFonts w:ascii="Century Gothic" w:eastAsia="Century Gothic" w:hAnsi="Century Gothic" w:cs="Century Gothic"/>
              </w:rPr>
              <w:t>Este procedimiento inicia con la separación de los residuos peligrosos o especiales posconsumo en el Punto ecológico, incluyendo la entrega de estos al gestor externo autorizado y finaliza con la solicitud de certificados de disposición final de residuos p</w:t>
            </w:r>
            <w:r>
              <w:rPr>
                <w:rFonts w:ascii="Century Gothic" w:eastAsia="Century Gothic" w:hAnsi="Century Gothic" w:cs="Century Gothic"/>
              </w:rPr>
              <w:t>osconsumo.</w:t>
            </w:r>
          </w:p>
        </w:tc>
      </w:tr>
    </w:tbl>
    <w:p w:rsidR="00AA1F03" w:rsidRDefault="00AA1F03">
      <w:pPr>
        <w:spacing w:after="0"/>
        <w:jc w:val="center"/>
        <w:rPr>
          <w:rFonts w:ascii="Century Gothic" w:eastAsia="Century Gothic" w:hAnsi="Century Gothic" w:cs="Century Gothic"/>
          <w:b/>
        </w:rPr>
      </w:pPr>
    </w:p>
    <w:tbl>
      <w:tblPr>
        <w:tblStyle w:val="a1"/>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8379"/>
      </w:tblGrid>
      <w:tr w:rsidR="00AA1F03">
        <w:trPr>
          <w:jc w:val="center"/>
        </w:trPr>
        <w:tc>
          <w:tcPr>
            <w:tcW w:w="1686" w:type="dxa"/>
            <w:shd w:val="clear" w:color="auto" w:fill="D9D9D9"/>
            <w:vAlign w:val="center"/>
          </w:tcPr>
          <w:p w:rsidR="00AA1F03" w:rsidRDefault="00500B73">
            <w:pPr>
              <w:pBdr>
                <w:top w:val="nil"/>
                <w:left w:val="nil"/>
                <w:bottom w:val="nil"/>
                <w:right w:val="nil"/>
                <w:between w:val="nil"/>
              </w:pBdr>
              <w:tabs>
                <w:tab w:val="center" w:pos="4419"/>
                <w:tab w:val="right" w:pos="8838"/>
              </w:tabs>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379" w:type="dxa"/>
            <w:shd w:val="clear" w:color="auto" w:fill="auto"/>
          </w:tcPr>
          <w:p w:rsidR="00AA1F03" w:rsidRDefault="00500B73">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Residuos peligrosos: </w:t>
            </w:r>
            <w:r>
              <w:rPr>
                <w:rFonts w:ascii="Century Gothic" w:eastAsia="Century Gothic" w:hAnsi="Century Gothic" w:cs="Century Gothic"/>
                <w:color w:val="000000"/>
              </w:rPr>
              <w:t>aquellos residuos o desechos que por sus características corrosivas, reactivas, explosivas, tóxicas, inflamables, infecciosas o radiactivas pueden causar riesgos, daños o efectos no deseados, directos o indirectos, a la salud humana y el ambiente. Así mism</w:t>
            </w:r>
            <w:r>
              <w:rPr>
                <w:rFonts w:ascii="Century Gothic" w:eastAsia="Century Gothic" w:hAnsi="Century Gothic" w:cs="Century Gothic"/>
                <w:color w:val="000000"/>
              </w:rPr>
              <w:t>o, se considera residuo peligroso a los empaques, envases y embalajes que estuvieron en contacto con ellos (Decreto Único Reglamentario 1076 de 2015).</w:t>
            </w:r>
          </w:p>
          <w:p w:rsidR="00AA1F03" w:rsidRDefault="00AA1F03">
            <w:pPr>
              <w:pBdr>
                <w:top w:val="nil"/>
                <w:left w:val="nil"/>
                <w:bottom w:val="nil"/>
                <w:right w:val="nil"/>
                <w:between w:val="nil"/>
              </w:pBdr>
              <w:spacing w:after="0"/>
              <w:jc w:val="both"/>
              <w:rPr>
                <w:rFonts w:ascii="Century Gothic" w:eastAsia="Century Gothic" w:hAnsi="Century Gothic" w:cs="Century Gothic"/>
                <w:b/>
                <w:color w:val="000000"/>
              </w:rPr>
            </w:pPr>
          </w:p>
          <w:p w:rsidR="00AA1F03" w:rsidRDefault="00500B73">
            <w:pPr>
              <w:jc w:val="both"/>
              <w:rPr>
                <w:rFonts w:ascii="Century Gothic" w:eastAsia="Century Gothic" w:hAnsi="Century Gothic" w:cs="Century Gothic"/>
              </w:rPr>
            </w:pPr>
            <w:r>
              <w:rPr>
                <w:rFonts w:ascii="Century Gothic" w:eastAsia="Century Gothic" w:hAnsi="Century Gothic" w:cs="Century Gothic"/>
                <w:b/>
              </w:rPr>
              <w:t xml:space="preserve">Residuos especiales: </w:t>
            </w:r>
            <w:r>
              <w:rPr>
                <w:rFonts w:ascii="Century Gothic" w:eastAsia="Century Gothic" w:hAnsi="Century Gothic" w:cs="Century Gothic"/>
              </w:rPr>
              <w:t>Es todo residuo sólido que, por su naturaleza, composición, tamaño, volumen, peso, necesidades de transporte, condiciones de almacenaje, compactación, no puede ser dispuesto normalmente por la persona prestadora del servicio público de aseo (Proyecto de Le</w:t>
            </w:r>
            <w:r>
              <w:rPr>
                <w:rFonts w:ascii="Century Gothic" w:eastAsia="Century Gothic" w:hAnsi="Century Gothic" w:cs="Century Gothic"/>
              </w:rPr>
              <w:t>y No. 282 de 2019)</w:t>
            </w:r>
          </w:p>
          <w:p w:rsidR="00AA1F03" w:rsidRDefault="00500B73">
            <w:pPr>
              <w:jc w:val="both"/>
              <w:rPr>
                <w:rFonts w:ascii="Century Gothic" w:eastAsia="Century Gothic" w:hAnsi="Century Gothic" w:cs="Century Gothic"/>
              </w:rPr>
            </w:pPr>
            <w:r>
              <w:rPr>
                <w:rFonts w:ascii="Century Gothic" w:eastAsia="Century Gothic" w:hAnsi="Century Gothic" w:cs="Century Gothic"/>
                <w:b/>
              </w:rPr>
              <w:t xml:space="preserve">Residuos posconsumo: </w:t>
            </w:r>
            <w:r>
              <w:rPr>
                <w:rFonts w:ascii="Century Gothic" w:eastAsia="Century Gothic" w:hAnsi="Century Gothic" w:cs="Century Gothic"/>
              </w:rPr>
              <w:t>Los residuos de posconsumo son los residuos que se caracterizan por un alto volumen de generación, derivado de la actividad de consumo masivo. Cuando un producto, aparato o bien se daña o no se puede utilizar más y e</w:t>
            </w:r>
            <w:r>
              <w:rPr>
                <w:rFonts w:ascii="Century Gothic" w:eastAsia="Century Gothic" w:hAnsi="Century Gothic" w:cs="Century Gothic"/>
              </w:rPr>
              <w:t>s desechado por el consumidor, se convierte en un residuo posconsumo. Estos residuos pueden ser: llantas, pilas, luminarias, aparatos eléctricos y electrónicos, neveras, motores, envases plásticos de aspersión y aerosol, entre otros (Alcaldía de Santiago d</w:t>
            </w:r>
            <w:r>
              <w:rPr>
                <w:rFonts w:ascii="Century Gothic" w:eastAsia="Century Gothic" w:hAnsi="Century Gothic" w:cs="Century Gothic"/>
              </w:rPr>
              <w:t>e Cali, 2017).</w:t>
            </w:r>
          </w:p>
          <w:p w:rsidR="00AA1F03" w:rsidRDefault="00500B73">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Planes de devolución posconsumo: </w:t>
            </w:r>
            <w:r>
              <w:rPr>
                <w:rFonts w:ascii="Century Gothic" w:eastAsia="Century Gothic" w:hAnsi="Century Gothic" w:cs="Century Gothic"/>
                <w:color w:val="000000"/>
              </w:rPr>
              <w:t>los programas posconsumo son una estrategia creada por el Ministerio de Ambiente y Desarrollo Sostenible (MADS) con el fin de garantizar que la gestión y manejo de corrientes de residuos que han sido establec</w:t>
            </w:r>
            <w:r>
              <w:rPr>
                <w:rFonts w:ascii="Century Gothic" w:eastAsia="Century Gothic" w:hAnsi="Century Gothic" w:cs="Century Gothic"/>
                <w:color w:val="000000"/>
              </w:rPr>
              <w:t xml:space="preserve">idas como de interés prioritario se efectúe de una manera productiva y eficiente. Algunos de estos residuos son convencionales, pero de manejo complejo y otros son residuos peligrosos, y </w:t>
            </w:r>
            <w:r>
              <w:rPr>
                <w:rFonts w:ascii="Century Gothic" w:eastAsia="Century Gothic" w:hAnsi="Century Gothic" w:cs="Century Gothic"/>
                <w:color w:val="000000"/>
              </w:rPr>
              <w:lastRenderedPageBreak/>
              <w:t>se deben separar y entregar por el consumidor final en plan posconsum</w:t>
            </w:r>
            <w:r>
              <w:rPr>
                <w:rFonts w:ascii="Century Gothic" w:eastAsia="Century Gothic" w:hAnsi="Century Gothic" w:cs="Century Gothic"/>
                <w:color w:val="000000"/>
              </w:rPr>
              <w:t>o porque no pueden mezclarse con los residuos que van al relleno sanitario. Los residuos son enviados a instalaciones que permiten llevar a cabo un aprovechamiento, valorización, tratamiento o disposición final adecuada (Alcaldía Mayor de Bogotá, s.f.).</w:t>
            </w:r>
          </w:p>
          <w:p w:rsidR="00AA1F03" w:rsidRDefault="00AA1F03">
            <w:pPr>
              <w:pBdr>
                <w:top w:val="nil"/>
                <w:left w:val="nil"/>
                <w:bottom w:val="nil"/>
                <w:right w:val="nil"/>
                <w:between w:val="nil"/>
              </w:pBdr>
              <w:spacing w:after="0"/>
              <w:jc w:val="both"/>
              <w:rPr>
                <w:rFonts w:ascii="Century Gothic" w:eastAsia="Century Gothic" w:hAnsi="Century Gothic" w:cs="Century Gothic"/>
                <w:b/>
                <w:color w:val="000000"/>
              </w:rPr>
            </w:pPr>
          </w:p>
          <w:p w:rsidR="00AA1F03" w:rsidRDefault="00500B73">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G</w:t>
            </w:r>
            <w:r>
              <w:rPr>
                <w:rFonts w:ascii="Century Gothic" w:eastAsia="Century Gothic" w:hAnsi="Century Gothic" w:cs="Century Gothic"/>
                <w:b/>
                <w:color w:val="000000"/>
              </w:rPr>
              <w:t xml:space="preserve">estor de residuos: </w:t>
            </w:r>
            <w:r>
              <w:rPr>
                <w:rFonts w:ascii="Century Gothic" w:eastAsia="Century Gothic" w:hAnsi="Century Gothic" w:cs="Century Gothic"/>
                <w:color w:val="000000"/>
              </w:rPr>
              <w:t>Persona natural o jurídica que presta los servicios de recolección, almacenamiento, transporte, tratamiento, aprovechamiento y/o disposición final de residuos (Decreto 351 de 2014).</w:t>
            </w:r>
          </w:p>
          <w:p w:rsidR="00AA1F03" w:rsidRDefault="00AA1F03">
            <w:pPr>
              <w:pBdr>
                <w:top w:val="nil"/>
                <w:left w:val="nil"/>
                <w:bottom w:val="nil"/>
                <w:right w:val="nil"/>
                <w:between w:val="nil"/>
              </w:pBdr>
              <w:spacing w:after="0"/>
              <w:jc w:val="both"/>
              <w:rPr>
                <w:rFonts w:ascii="Century Gothic" w:eastAsia="Century Gothic" w:hAnsi="Century Gothic" w:cs="Century Gothic"/>
                <w:b/>
                <w:color w:val="000000"/>
              </w:rPr>
            </w:pPr>
          </w:p>
          <w:p w:rsidR="00AA1F03" w:rsidRDefault="00500B73">
            <w:pPr>
              <w:pBdr>
                <w:top w:val="nil"/>
                <w:left w:val="nil"/>
                <w:bottom w:val="nil"/>
                <w:right w:val="nil"/>
                <w:between w:val="nil"/>
              </w:pBdr>
              <w:spacing w:after="0"/>
              <w:jc w:val="both"/>
              <w:rPr>
                <w:rFonts w:ascii="Century Gothic" w:eastAsia="Century Gothic" w:hAnsi="Century Gothic" w:cs="Century Gothic"/>
                <w:color w:val="000000"/>
              </w:rPr>
            </w:pPr>
            <w:bookmarkStart w:id="1" w:name="_heading=h.30j0zll" w:colFirst="0" w:colLast="0"/>
            <w:bookmarkEnd w:id="1"/>
            <w:r>
              <w:rPr>
                <w:rFonts w:ascii="Century Gothic" w:eastAsia="Century Gothic" w:hAnsi="Century Gothic" w:cs="Century Gothic"/>
                <w:b/>
                <w:color w:val="000000"/>
              </w:rPr>
              <w:t>Gestión integral de residuos sólidos:</w:t>
            </w:r>
            <w:r>
              <w:rPr>
                <w:rFonts w:ascii="Century Gothic" w:eastAsia="Century Gothic" w:hAnsi="Century Gothic" w:cs="Century Gothic"/>
                <w:color w:val="000000"/>
              </w:rPr>
              <w:t xml:space="preserve"> Es el conjunto de actividades encaminadas a reducir la generación de residuos, a realizar el aprovechamiento teniendo en cuenta sus características, volumen, procedencia, costos, tratamiento con fines de valorización energética, posibilidades de aprovecha</w:t>
            </w:r>
            <w:r>
              <w:rPr>
                <w:rFonts w:ascii="Century Gothic" w:eastAsia="Century Gothic" w:hAnsi="Century Gothic" w:cs="Century Gothic"/>
                <w:color w:val="000000"/>
              </w:rPr>
              <w:t xml:space="preserve">miento y comercialización. También incluye el tratamiento y disposición final de los residuos no aprovechables (Decreto 1077 de 2015). </w:t>
            </w:r>
          </w:p>
          <w:p w:rsidR="00AA1F03" w:rsidRDefault="00AA1F03">
            <w:pPr>
              <w:pBdr>
                <w:top w:val="nil"/>
                <w:left w:val="nil"/>
                <w:bottom w:val="nil"/>
                <w:right w:val="nil"/>
                <w:between w:val="nil"/>
              </w:pBdr>
              <w:spacing w:after="0"/>
              <w:jc w:val="both"/>
              <w:rPr>
                <w:rFonts w:ascii="Century Gothic" w:eastAsia="Century Gothic" w:hAnsi="Century Gothic" w:cs="Century Gothic"/>
                <w:color w:val="000000"/>
              </w:rPr>
            </w:pPr>
          </w:p>
        </w:tc>
      </w:tr>
    </w:tbl>
    <w:p w:rsidR="00AA1F03" w:rsidRDefault="00AA1F03">
      <w:pPr>
        <w:spacing w:after="0"/>
        <w:rPr>
          <w:rFonts w:ascii="Century Gothic" w:eastAsia="Century Gothic" w:hAnsi="Century Gothic" w:cs="Century Gothic"/>
        </w:rPr>
      </w:pPr>
    </w:p>
    <w:p w:rsidR="00AA1F03" w:rsidRDefault="00AA1F03">
      <w:pPr>
        <w:spacing w:after="0"/>
        <w:rPr>
          <w:rFonts w:ascii="Century Gothic" w:eastAsia="Century Gothic" w:hAnsi="Century Gothic" w:cs="Century Gothic"/>
        </w:rPr>
      </w:pPr>
    </w:p>
    <w:tbl>
      <w:tblPr>
        <w:tblStyle w:val="a2"/>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680"/>
        <w:gridCol w:w="4735"/>
        <w:gridCol w:w="1771"/>
        <w:gridCol w:w="1915"/>
      </w:tblGrid>
      <w:tr w:rsidR="00AA1F03" w:rsidTr="00500B73">
        <w:trPr>
          <w:trHeight w:val="467"/>
        </w:trPr>
        <w:tc>
          <w:tcPr>
            <w:tcW w:w="10065" w:type="dxa"/>
            <w:gridSpan w:val="5"/>
            <w:shd w:val="clear" w:color="auto" w:fill="D9D9D9"/>
            <w:vAlign w:val="center"/>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PROCEDIMIENTO</w:t>
            </w:r>
          </w:p>
        </w:tc>
      </w:tr>
      <w:tr w:rsidR="00AA1F03" w:rsidTr="00500B73">
        <w:tc>
          <w:tcPr>
            <w:tcW w:w="964" w:type="dxa"/>
            <w:shd w:val="clear" w:color="auto" w:fill="D9D9D9"/>
            <w:vAlign w:val="center"/>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Nº</w:t>
            </w:r>
          </w:p>
        </w:tc>
        <w:tc>
          <w:tcPr>
            <w:tcW w:w="680" w:type="dxa"/>
            <w:shd w:val="clear" w:color="auto" w:fill="D9D9D9"/>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PH</w:t>
            </w:r>
          </w:p>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VA</w:t>
            </w:r>
          </w:p>
        </w:tc>
        <w:tc>
          <w:tcPr>
            <w:tcW w:w="4735" w:type="dxa"/>
            <w:shd w:val="clear" w:color="auto" w:fill="D9D9D9"/>
            <w:vAlign w:val="center"/>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 xml:space="preserve">ACTIVIDAD / DESCRIPCIÓN </w:t>
            </w:r>
          </w:p>
        </w:tc>
        <w:tc>
          <w:tcPr>
            <w:tcW w:w="1771" w:type="dxa"/>
            <w:shd w:val="clear" w:color="auto" w:fill="D9D9D9"/>
            <w:vAlign w:val="center"/>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RESPONSABLE</w:t>
            </w:r>
          </w:p>
        </w:tc>
        <w:tc>
          <w:tcPr>
            <w:tcW w:w="1915" w:type="dxa"/>
            <w:shd w:val="clear" w:color="auto" w:fill="D9D9D9"/>
            <w:vAlign w:val="center"/>
          </w:tcPr>
          <w:p w:rsidR="00AA1F03" w:rsidRDefault="00500B73">
            <w:pPr>
              <w:spacing w:after="0"/>
              <w:jc w:val="center"/>
              <w:rPr>
                <w:rFonts w:ascii="Century Gothic" w:eastAsia="Century Gothic" w:hAnsi="Century Gothic" w:cs="Century Gothic"/>
                <w:b/>
              </w:rPr>
            </w:pPr>
            <w:r>
              <w:rPr>
                <w:rFonts w:ascii="Century Gothic" w:eastAsia="Century Gothic" w:hAnsi="Century Gothic" w:cs="Century Gothic"/>
                <w:b/>
              </w:rPr>
              <w:t>REGISTRO (MEDIO DE VERIFICACIÓN)</w:t>
            </w:r>
          </w:p>
        </w:tc>
      </w:tr>
      <w:tr w:rsidR="00AA1F03" w:rsidTr="00500B73">
        <w:tc>
          <w:tcPr>
            <w:tcW w:w="964" w:type="dxa"/>
            <w:shd w:val="clear" w:color="auto" w:fill="auto"/>
            <w:vAlign w:val="center"/>
          </w:tcPr>
          <w:p w:rsidR="00AA1F03" w:rsidRDefault="00500B73">
            <w:pPr>
              <w:spacing w:after="0"/>
              <w:jc w:val="center"/>
              <w:rPr>
                <w:rFonts w:ascii="Century Gothic" w:eastAsia="Century Gothic" w:hAnsi="Century Gothic" w:cs="Century Gothic"/>
              </w:rPr>
            </w:pPr>
            <w:r>
              <w:rPr>
                <w:rFonts w:ascii="Century Gothic" w:eastAsia="Century Gothic" w:hAnsi="Century Gothic" w:cs="Century Gothic"/>
              </w:rPr>
              <w:t>1</w:t>
            </w:r>
          </w:p>
        </w:tc>
        <w:tc>
          <w:tcPr>
            <w:tcW w:w="680" w:type="dxa"/>
            <w:shd w:val="clear" w:color="auto" w:fill="auto"/>
            <w:vAlign w:val="center"/>
          </w:tcPr>
          <w:p w:rsidR="00AA1F03" w:rsidRDefault="00500B73">
            <w:pPr>
              <w:spacing w:after="0"/>
              <w:jc w:val="center"/>
              <w:rPr>
                <w:rFonts w:ascii="Century Gothic" w:eastAsia="Century Gothic" w:hAnsi="Century Gothic" w:cs="Century Gothic"/>
              </w:rPr>
            </w:pPr>
            <w:r>
              <w:rPr>
                <w:rFonts w:ascii="Century Gothic" w:eastAsia="Century Gothic" w:hAnsi="Century Gothic" w:cs="Century Gothic"/>
              </w:rPr>
              <w:t>H</w:t>
            </w:r>
          </w:p>
        </w:tc>
        <w:tc>
          <w:tcPr>
            <w:tcW w:w="4735" w:type="dxa"/>
            <w:shd w:val="clear" w:color="auto" w:fill="auto"/>
            <w:vAlign w:val="center"/>
          </w:tcPr>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b/>
              </w:rPr>
              <w:t>Actividad:</w:t>
            </w:r>
          </w:p>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t>Separación de los residuos peligrosos o especiales posconsumo en el Punto ecológico.</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t>La comunidad universitaria y los visitantes de la Universidad como generadora de residuos peligrosos y especiales posconsumo, realiza adecuadamente la dispo</w:t>
            </w:r>
            <w:r>
              <w:rPr>
                <w:rFonts w:ascii="Century Gothic" w:eastAsia="Century Gothic" w:hAnsi="Century Gothic" w:cs="Century Gothic"/>
              </w:rPr>
              <w:t xml:space="preserve">sición de estos en el Punto ecológico que se encuentra en el campus. </w:t>
            </w:r>
          </w:p>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lastRenderedPageBreak/>
              <w:t>Los residuos deben estar embalados en sus empaques originales, o en un empaque que evite el derramamiento o salida de sustancias contenidas al interior de estos.</w:t>
            </w:r>
          </w:p>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t xml:space="preserve">Los residuos peligrosos </w:t>
            </w:r>
            <w:r>
              <w:rPr>
                <w:rFonts w:ascii="Century Gothic" w:eastAsia="Century Gothic" w:hAnsi="Century Gothic" w:cs="Century Gothic"/>
              </w:rPr>
              <w:t xml:space="preserve">y especiales posconsumo que podrán disponer en el Punto ecológico son: </w:t>
            </w:r>
          </w:p>
          <w:p w:rsidR="00AA1F03" w:rsidRDefault="00500B73">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Pilas alcalinas, pilas zinc-carbón, pilas de botón (litio), baterías de níquel – metalhidruro, baterías de ion de litio, baterías de ion de litio polímero</w:t>
            </w:r>
          </w:p>
          <w:p w:rsidR="00AA1F03" w:rsidRDefault="00500B73">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Envases de insecticidas domésticos para el control de vectores: bombas manuales de fumigación, envases de aerosol, pastillas laminadas, envases de aspersión y envases de difusores eléctricos.</w:t>
            </w:r>
          </w:p>
          <w:p w:rsidR="00AA1F03" w:rsidRDefault="00500B73">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Luminarias: bombillas fluorescentes tubulares (rectas o circular</w:t>
            </w:r>
            <w:r>
              <w:rPr>
                <w:rFonts w:ascii="Century Gothic" w:eastAsia="Century Gothic" w:hAnsi="Century Gothic" w:cs="Century Gothic"/>
                <w:color w:val="000000"/>
              </w:rPr>
              <w:t>es), bombillas fluorescente compactas y bombillas que contengan sodio, mercurio o halogenuro metálico.</w:t>
            </w:r>
          </w:p>
          <w:p w:rsidR="00AA1F03" w:rsidRDefault="00500B73">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Aceite de cocina vegetal usado (palma, soya, girasol, algodón, canola, oliva o coco).</w:t>
            </w:r>
          </w:p>
        </w:tc>
        <w:tc>
          <w:tcPr>
            <w:tcW w:w="1771" w:type="dxa"/>
            <w:shd w:val="clear" w:color="auto" w:fill="auto"/>
            <w:vAlign w:val="center"/>
          </w:tcPr>
          <w:p w:rsidR="00AA1F03" w:rsidRDefault="00500B73">
            <w:pPr>
              <w:spacing w:after="0"/>
              <w:jc w:val="center"/>
              <w:rPr>
                <w:rFonts w:ascii="Century Gothic" w:eastAsia="Century Gothic" w:hAnsi="Century Gothic" w:cs="Century Gothic"/>
                <w:b/>
                <w:highlight w:val="yellow"/>
              </w:rPr>
            </w:pPr>
            <w:r>
              <w:rPr>
                <w:rFonts w:ascii="Century Gothic" w:eastAsia="Century Gothic" w:hAnsi="Century Gothic" w:cs="Century Gothic"/>
              </w:rPr>
              <w:lastRenderedPageBreak/>
              <w:t>Comunidad universitaria</w:t>
            </w:r>
          </w:p>
        </w:tc>
        <w:tc>
          <w:tcPr>
            <w:tcW w:w="1915" w:type="dxa"/>
            <w:shd w:val="clear" w:color="auto" w:fill="auto"/>
            <w:vAlign w:val="center"/>
          </w:tcPr>
          <w:p w:rsidR="00AA1F03" w:rsidRDefault="00500B73">
            <w:pPr>
              <w:spacing w:after="0"/>
              <w:jc w:val="center"/>
              <w:rPr>
                <w:rFonts w:ascii="Century Gothic" w:eastAsia="Century Gothic" w:hAnsi="Century Gothic" w:cs="Century Gothic"/>
              </w:rPr>
            </w:pPr>
            <w:r>
              <w:rPr>
                <w:rFonts w:ascii="Century Gothic" w:eastAsia="Century Gothic" w:hAnsi="Century Gothic" w:cs="Century Gothic"/>
              </w:rPr>
              <w:t>Punto ecológico</w:t>
            </w:r>
          </w:p>
          <w:p w:rsidR="00AA1F03" w:rsidRDefault="00500B73">
            <w:pPr>
              <w:spacing w:after="0"/>
              <w:jc w:val="center"/>
              <w:rPr>
                <w:rFonts w:ascii="Century Gothic" w:eastAsia="Century Gothic" w:hAnsi="Century Gothic" w:cs="Century Gothic"/>
              </w:rPr>
            </w:pPr>
            <w:r>
              <w:rPr>
                <w:rFonts w:ascii="Century Gothic" w:eastAsia="Century Gothic" w:hAnsi="Century Gothic" w:cs="Century Gothic"/>
              </w:rPr>
              <w:t>Cápsula informativa</w:t>
            </w:r>
          </w:p>
        </w:tc>
      </w:tr>
      <w:tr w:rsidR="00AA1F03" w:rsidTr="00500B73">
        <w:trPr>
          <w:trHeight w:val="2004"/>
        </w:trPr>
        <w:tc>
          <w:tcPr>
            <w:tcW w:w="964"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H</w:t>
            </w:r>
          </w:p>
        </w:tc>
        <w:tc>
          <w:tcPr>
            <w:tcW w:w="4735" w:type="dxa"/>
            <w:tcBorders>
              <w:top w:val="single" w:sz="4" w:space="0" w:color="000000"/>
              <w:left w:val="single" w:sz="4" w:space="0" w:color="000000"/>
              <w:bottom w:val="single" w:sz="4" w:space="0" w:color="000000"/>
              <w:right w:val="single" w:sz="4" w:space="0" w:color="000000"/>
            </w:tcBorders>
            <w:vAlign w:val="center"/>
          </w:tcPr>
          <w:p w:rsidR="00AA1F03" w:rsidRDefault="00500B73">
            <w:pPr>
              <w:spacing w:after="0"/>
              <w:rPr>
                <w:rFonts w:ascii="Century Gothic" w:eastAsia="Century Gothic" w:hAnsi="Century Gothic" w:cs="Century Gothic"/>
                <w:b/>
              </w:rPr>
            </w:pPr>
            <w:r>
              <w:rPr>
                <w:rFonts w:ascii="Century Gothic" w:eastAsia="Century Gothic" w:hAnsi="Century Gothic" w:cs="Century Gothic"/>
                <w:b/>
              </w:rPr>
              <w:t>Actividad:</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rPr>
              <w:t>Entrega de los residuos peligrosos y especiales posconsumo a gestores externos.</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AA1F03" w:rsidRDefault="00500B73">
            <w:pPr>
              <w:spacing w:after="0"/>
              <w:jc w:val="both"/>
              <w:rPr>
                <w:rFonts w:ascii="Century Gothic" w:eastAsia="Century Gothic" w:hAnsi="Century Gothic" w:cs="Century Gothic"/>
              </w:rPr>
            </w:pPr>
            <w:r>
              <w:rPr>
                <w:rFonts w:ascii="Century Gothic" w:eastAsia="Century Gothic" w:hAnsi="Century Gothic" w:cs="Century Gothic"/>
              </w:rPr>
              <w:t xml:space="preserve">El gestor ambiental debe garantizar que los residuos sean entregados al gestor externo autorizado (Pilas con el ambiente, Cierra el ciclo, </w:t>
            </w:r>
            <w:proofErr w:type="spellStart"/>
            <w:r>
              <w:rPr>
                <w:rFonts w:ascii="Century Gothic" w:eastAsia="Century Gothic" w:hAnsi="Century Gothic" w:cs="Century Gothic"/>
              </w:rPr>
              <w:t>Lúmina</w:t>
            </w:r>
            <w:proofErr w:type="spellEnd"/>
            <w:r>
              <w:rPr>
                <w:rFonts w:ascii="Century Gothic" w:eastAsia="Century Gothic" w:hAnsi="Century Gothic" w:cs="Century Gothic"/>
              </w:rPr>
              <w:t xml:space="preserve"> y Re</w:t>
            </w:r>
            <w:r>
              <w:rPr>
                <w:rFonts w:ascii="Century Gothic" w:eastAsia="Century Gothic" w:hAnsi="Century Gothic" w:cs="Century Gothic"/>
              </w:rPr>
              <w:t>ciclemos +) siguiendo la ruta establecida por la Oficina de gestión ambiental.</w:t>
            </w:r>
          </w:p>
          <w:p w:rsidR="00AA1F03" w:rsidRDefault="00500B73">
            <w:pPr>
              <w:spacing w:after="0"/>
              <w:jc w:val="both"/>
              <w:rPr>
                <w:rFonts w:ascii="Century Gothic" w:eastAsia="Century Gothic" w:hAnsi="Century Gothic" w:cs="Century Gothic"/>
                <w:highlight w:val="yellow"/>
              </w:rPr>
            </w:pPr>
            <w:r>
              <w:rPr>
                <w:rFonts w:ascii="Century Gothic" w:eastAsia="Century Gothic" w:hAnsi="Century Gothic" w:cs="Century Gothic"/>
              </w:rPr>
              <w:lastRenderedPageBreak/>
              <w:t xml:space="preserve">La recolección de los residuos debe ser programada por el gestor ambiental, garantizando que el contenedor no supere el 80% de su capacidad. </w:t>
            </w:r>
          </w:p>
        </w:tc>
        <w:tc>
          <w:tcPr>
            <w:tcW w:w="1771"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lastRenderedPageBreak/>
              <w:t>Gestor ambiental</w:t>
            </w:r>
          </w:p>
        </w:tc>
        <w:tc>
          <w:tcPr>
            <w:tcW w:w="1915"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Ruta de recolecció</w:t>
            </w:r>
            <w:r>
              <w:rPr>
                <w:rFonts w:ascii="Century Gothic" w:eastAsia="Century Gothic" w:hAnsi="Century Gothic" w:cs="Century Gothic"/>
              </w:rPr>
              <w:t>n de residuos – Punto ecológico</w:t>
            </w:r>
          </w:p>
          <w:p w:rsidR="00AA1F03" w:rsidRDefault="00500B73">
            <w:pPr>
              <w:jc w:val="center"/>
              <w:rPr>
                <w:rFonts w:ascii="Century Gothic" w:eastAsia="Century Gothic" w:hAnsi="Century Gothic" w:cs="Century Gothic"/>
              </w:rPr>
            </w:pPr>
            <w:r>
              <w:rPr>
                <w:rFonts w:ascii="Century Gothic" w:eastAsia="Century Gothic" w:hAnsi="Century Gothic" w:cs="Century Gothic"/>
              </w:rPr>
              <w:t xml:space="preserve">Recibo de recolección </w:t>
            </w:r>
          </w:p>
        </w:tc>
      </w:tr>
      <w:tr w:rsidR="00AA1F03" w:rsidTr="00500B73">
        <w:trPr>
          <w:trHeight w:val="2004"/>
        </w:trPr>
        <w:tc>
          <w:tcPr>
            <w:tcW w:w="964"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3</w:t>
            </w:r>
          </w:p>
        </w:tc>
        <w:tc>
          <w:tcPr>
            <w:tcW w:w="680"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H</w:t>
            </w:r>
          </w:p>
        </w:tc>
        <w:tc>
          <w:tcPr>
            <w:tcW w:w="4735" w:type="dxa"/>
            <w:tcBorders>
              <w:top w:val="single" w:sz="4" w:space="0" w:color="000000"/>
              <w:left w:val="single" w:sz="4" w:space="0" w:color="000000"/>
              <w:bottom w:val="single" w:sz="4" w:space="0" w:color="000000"/>
              <w:right w:val="single" w:sz="4" w:space="0" w:color="000000"/>
            </w:tcBorders>
            <w:vAlign w:val="center"/>
          </w:tcPr>
          <w:p w:rsidR="00AA1F03" w:rsidRDefault="00500B73">
            <w:pPr>
              <w:spacing w:after="0"/>
              <w:rPr>
                <w:rFonts w:ascii="Century Gothic" w:eastAsia="Century Gothic" w:hAnsi="Century Gothic" w:cs="Century Gothic"/>
                <w:b/>
              </w:rPr>
            </w:pPr>
            <w:r>
              <w:rPr>
                <w:rFonts w:ascii="Century Gothic" w:eastAsia="Century Gothic" w:hAnsi="Century Gothic" w:cs="Century Gothic"/>
                <w:b/>
              </w:rPr>
              <w:t>Actividad:</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rPr>
              <w:t>Registro de los residuos peligrosos o especiales posconsumo enviados a disposición final.</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AA1F03" w:rsidRDefault="00500B73">
            <w:pPr>
              <w:spacing w:after="0"/>
              <w:jc w:val="both"/>
              <w:rPr>
                <w:rFonts w:ascii="Century Gothic" w:eastAsia="Century Gothic" w:hAnsi="Century Gothic" w:cs="Century Gothic"/>
                <w:b/>
                <w:highlight w:val="yellow"/>
              </w:rPr>
            </w:pPr>
            <w:r>
              <w:rPr>
                <w:rFonts w:ascii="Century Gothic" w:eastAsia="Century Gothic" w:hAnsi="Century Gothic" w:cs="Century Gothic"/>
              </w:rPr>
              <w:t>Durante el pesaje de los residuos posconsumo realizado por el gestor externo, se debe registrar el responsable del diligenciamiento, la fecha, el tipo de residuo, una breve descripción, el peso en Kg, la entidad que realiza la recolección y el documento de</w:t>
            </w:r>
            <w:r>
              <w:rPr>
                <w:rFonts w:ascii="Century Gothic" w:eastAsia="Century Gothic" w:hAnsi="Century Gothic" w:cs="Century Gothic"/>
              </w:rPr>
              <w:t xml:space="preserve"> evidencia.</w:t>
            </w:r>
          </w:p>
        </w:tc>
        <w:tc>
          <w:tcPr>
            <w:tcW w:w="1771"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1915"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Formato: Registro de recolección de residuos posconsumo del Punto ecológico</w:t>
            </w:r>
          </w:p>
        </w:tc>
      </w:tr>
      <w:tr w:rsidR="00AA1F03" w:rsidTr="00500B73">
        <w:trPr>
          <w:trHeight w:val="2004"/>
        </w:trPr>
        <w:tc>
          <w:tcPr>
            <w:tcW w:w="964"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4</w:t>
            </w:r>
          </w:p>
        </w:tc>
        <w:tc>
          <w:tcPr>
            <w:tcW w:w="680"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H</w:t>
            </w:r>
          </w:p>
        </w:tc>
        <w:tc>
          <w:tcPr>
            <w:tcW w:w="4735" w:type="dxa"/>
            <w:tcBorders>
              <w:top w:val="single" w:sz="4" w:space="0" w:color="000000"/>
              <w:left w:val="single" w:sz="4" w:space="0" w:color="000000"/>
              <w:bottom w:val="single" w:sz="4" w:space="0" w:color="000000"/>
              <w:right w:val="single" w:sz="4" w:space="0" w:color="000000"/>
            </w:tcBorders>
            <w:vAlign w:val="center"/>
          </w:tcPr>
          <w:p w:rsidR="00AA1F03" w:rsidRDefault="00500B73">
            <w:pPr>
              <w:spacing w:after="0"/>
              <w:rPr>
                <w:rFonts w:ascii="Century Gothic" w:eastAsia="Century Gothic" w:hAnsi="Century Gothic" w:cs="Century Gothic"/>
                <w:b/>
              </w:rPr>
            </w:pPr>
            <w:r>
              <w:rPr>
                <w:rFonts w:ascii="Century Gothic" w:eastAsia="Century Gothic" w:hAnsi="Century Gothic" w:cs="Century Gothic"/>
                <w:b/>
              </w:rPr>
              <w:t>Actividad:</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rPr>
              <w:t>Solicitud de certificados de disposición final de residuos posconsumo.</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AA1F03" w:rsidRDefault="00500B73">
            <w:pPr>
              <w:spacing w:after="0"/>
              <w:jc w:val="both"/>
              <w:rPr>
                <w:rFonts w:ascii="Century Gothic" w:eastAsia="Century Gothic" w:hAnsi="Century Gothic" w:cs="Century Gothic"/>
                <w:b/>
              </w:rPr>
            </w:pPr>
            <w:r>
              <w:rPr>
                <w:rFonts w:ascii="Century Gothic" w:eastAsia="Century Gothic" w:hAnsi="Century Gothic" w:cs="Century Gothic"/>
              </w:rPr>
              <w:t>El gestor ambiental debe solicitar los certificados de disposición final de residuos posconsumo a los gestores externos y conservarlos.</w:t>
            </w:r>
          </w:p>
        </w:tc>
        <w:tc>
          <w:tcPr>
            <w:tcW w:w="1771"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Gestor ambiental</w:t>
            </w:r>
          </w:p>
        </w:tc>
        <w:tc>
          <w:tcPr>
            <w:tcW w:w="1915" w:type="dxa"/>
            <w:tcBorders>
              <w:top w:val="single" w:sz="4" w:space="0" w:color="000000"/>
              <w:left w:val="single" w:sz="4" w:space="0" w:color="000000"/>
              <w:bottom w:val="single" w:sz="4" w:space="0" w:color="000000"/>
              <w:right w:val="single" w:sz="4" w:space="0" w:color="000000"/>
            </w:tcBorders>
            <w:vAlign w:val="center"/>
          </w:tcPr>
          <w:p w:rsidR="00AA1F03" w:rsidRDefault="00500B73">
            <w:pPr>
              <w:jc w:val="center"/>
              <w:rPr>
                <w:rFonts w:ascii="Century Gothic" w:eastAsia="Century Gothic" w:hAnsi="Century Gothic" w:cs="Century Gothic"/>
              </w:rPr>
            </w:pPr>
            <w:r>
              <w:rPr>
                <w:rFonts w:ascii="Century Gothic" w:eastAsia="Century Gothic" w:hAnsi="Century Gothic" w:cs="Century Gothic"/>
              </w:rPr>
              <w:t>Certificado de disposición final</w:t>
            </w:r>
          </w:p>
        </w:tc>
      </w:tr>
    </w:tbl>
    <w:p w:rsidR="00AA1F03" w:rsidRDefault="00AA1F03">
      <w:pPr>
        <w:spacing w:after="0"/>
        <w:rPr>
          <w:rFonts w:ascii="Century Gothic" w:eastAsia="Century Gothic" w:hAnsi="Century Gothic" w:cs="Century Gothic"/>
        </w:rPr>
      </w:pPr>
    </w:p>
    <w:p w:rsidR="00AA1F03" w:rsidRDefault="00AA1F03">
      <w:pPr>
        <w:spacing w:after="0"/>
        <w:rPr>
          <w:rFonts w:ascii="Century Gothic" w:eastAsia="Century Gothic" w:hAnsi="Century Gothic" w:cs="Century Gothic"/>
        </w:rPr>
      </w:pPr>
    </w:p>
    <w:p w:rsidR="00AA1F03" w:rsidRDefault="00AA1F03">
      <w:pPr>
        <w:spacing w:after="0"/>
        <w:rPr>
          <w:rFonts w:ascii="Century Gothic" w:eastAsia="Century Gothic" w:hAnsi="Century Gothic" w:cs="Century Gothic"/>
        </w:rPr>
      </w:pPr>
    </w:p>
    <w:p w:rsidR="00AA1F03" w:rsidRDefault="00AA1F03">
      <w:pPr>
        <w:spacing w:after="0"/>
        <w:rPr>
          <w:rFonts w:ascii="Century Gothic" w:eastAsia="Century Gothic" w:hAnsi="Century Gothic" w:cs="Century Gothic"/>
        </w:rPr>
      </w:pPr>
    </w:p>
    <w:tbl>
      <w:tblPr>
        <w:tblStyle w:val="a3"/>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1"/>
        <w:gridCol w:w="1842"/>
        <w:gridCol w:w="2127"/>
      </w:tblGrid>
      <w:tr w:rsidR="00AA1F03" w:rsidTr="00500B73">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Revisó</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Aprobó</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AA1F03" w:rsidTr="00500B73">
        <w:trPr>
          <w:trHeight w:val="583"/>
        </w:trPr>
        <w:tc>
          <w:tcPr>
            <w:tcW w:w="2835" w:type="dxa"/>
            <w:tcBorders>
              <w:top w:val="single" w:sz="4" w:space="0" w:color="000000"/>
              <w:left w:val="single" w:sz="4" w:space="0" w:color="000000"/>
              <w:bottom w:val="single" w:sz="4" w:space="0" w:color="000000"/>
              <w:right w:val="single" w:sz="4" w:space="0" w:color="000000"/>
            </w:tcBorders>
            <w:vAlign w:val="center"/>
          </w:tcPr>
          <w:p w:rsidR="00AA1F03" w:rsidRDefault="00500B73" w:rsidP="00500B73">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3261" w:type="dxa"/>
            <w:tcBorders>
              <w:top w:val="single" w:sz="4" w:space="0" w:color="000000"/>
              <w:left w:val="single" w:sz="4" w:space="0" w:color="000000"/>
              <w:bottom w:val="single" w:sz="4" w:space="0" w:color="000000"/>
              <w:right w:val="single" w:sz="4" w:space="0" w:color="000000"/>
            </w:tcBorders>
            <w:vAlign w:val="center"/>
          </w:tcPr>
          <w:p w:rsidR="00AA1F03" w:rsidRDefault="00500B73" w:rsidP="00500B73">
            <w:pPr>
              <w:jc w:val="center"/>
              <w:rPr>
                <w:rFonts w:ascii="Century Gothic" w:eastAsia="Century Gothic" w:hAnsi="Century Gothic" w:cs="Century Gothic"/>
              </w:rPr>
            </w:pPr>
            <w:r>
              <w:rPr>
                <w:rFonts w:ascii="Century Gothic" w:eastAsia="Century Gothic" w:hAnsi="Century Gothic" w:cs="Century Gothic"/>
              </w:rPr>
              <w:t>Dirección de Aseguramiento de Calidad</w:t>
            </w:r>
          </w:p>
        </w:tc>
        <w:tc>
          <w:tcPr>
            <w:tcW w:w="1842" w:type="dxa"/>
            <w:tcBorders>
              <w:top w:val="single" w:sz="4" w:space="0" w:color="000000"/>
              <w:left w:val="single" w:sz="4" w:space="0" w:color="000000"/>
              <w:bottom w:val="single" w:sz="4" w:space="0" w:color="000000"/>
              <w:right w:val="single" w:sz="4" w:space="0" w:color="000000"/>
            </w:tcBorders>
            <w:vAlign w:val="center"/>
          </w:tcPr>
          <w:p w:rsidR="00AA1F03" w:rsidRDefault="00500B73" w:rsidP="00500B73">
            <w:pPr>
              <w:jc w:val="center"/>
              <w:rPr>
                <w:rFonts w:ascii="Century Gothic" w:eastAsia="Century Gothic" w:hAnsi="Century Gothic" w:cs="Century Gothic"/>
              </w:rPr>
            </w:pPr>
            <w:r>
              <w:rPr>
                <w:rFonts w:ascii="Century Gothic" w:eastAsia="Century Gothic" w:hAnsi="Century Gothic" w:cs="Century Gothic"/>
              </w:rPr>
              <w:t>Rectoría</w:t>
            </w:r>
          </w:p>
        </w:tc>
        <w:tc>
          <w:tcPr>
            <w:tcW w:w="2127" w:type="dxa"/>
            <w:tcBorders>
              <w:top w:val="single" w:sz="4" w:space="0" w:color="000000"/>
              <w:left w:val="single" w:sz="4" w:space="0" w:color="000000"/>
              <w:bottom w:val="single" w:sz="4" w:space="0" w:color="000000"/>
              <w:right w:val="single" w:sz="4" w:space="0" w:color="000000"/>
            </w:tcBorders>
            <w:vAlign w:val="center"/>
          </w:tcPr>
          <w:p w:rsidR="00AA1F03" w:rsidRDefault="00500B73" w:rsidP="00500B73">
            <w:pPr>
              <w:jc w:val="center"/>
              <w:rPr>
                <w:rFonts w:ascii="Century Gothic" w:eastAsia="Century Gothic" w:hAnsi="Century Gothic" w:cs="Century Gothic"/>
              </w:rPr>
            </w:pPr>
            <w:r>
              <w:rPr>
                <w:rFonts w:ascii="Century Gothic" w:eastAsia="Century Gothic" w:hAnsi="Century Gothic" w:cs="Century Gothic"/>
              </w:rPr>
              <w:t>Julio de 2021</w:t>
            </w:r>
            <w:bookmarkStart w:id="2" w:name="_GoBack"/>
            <w:bookmarkEnd w:id="2"/>
          </w:p>
        </w:tc>
      </w:tr>
    </w:tbl>
    <w:p w:rsidR="00AA1F03" w:rsidRDefault="00AA1F03">
      <w:pPr>
        <w:rPr>
          <w:rFonts w:ascii="Century Gothic" w:eastAsia="Century Gothic" w:hAnsi="Century Gothic" w:cs="Century Gothic"/>
        </w:rPr>
      </w:pPr>
    </w:p>
    <w:p w:rsidR="00AA1F03" w:rsidRDefault="00500B73">
      <w:pPr>
        <w:rPr>
          <w:rFonts w:ascii="Century Gothic" w:eastAsia="Century Gothic" w:hAnsi="Century Gothic" w:cs="Century Gothic"/>
          <w:b/>
        </w:rPr>
      </w:pPr>
      <w:r>
        <w:rPr>
          <w:rFonts w:ascii="Century Gothic" w:eastAsia="Century Gothic" w:hAnsi="Century Gothic" w:cs="Century Gothic"/>
          <w:b/>
        </w:rPr>
        <w:t>Control de cambios</w:t>
      </w:r>
    </w:p>
    <w:tbl>
      <w:tblPr>
        <w:tblStyle w:val="a4"/>
        <w:tblW w:w="102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704"/>
      </w:tblGrid>
      <w:tr w:rsidR="00AA1F03">
        <w:tc>
          <w:tcPr>
            <w:tcW w:w="4503" w:type="dxa"/>
            <w:tcBorders>
              <w:top w:val="single" w:sz="4" w:space="0" w:color="000000"/>
              <w:left w:val="single" w:sz="4" w:space="0" w:color="000000"/>
              <w:bottom w:val="single" w:sz="4" w:space="0" w:color="000000"/>
              <w:right w:val="single" w:sz="4" w:space="0" w:color="000000"/>
            </w:tcBorders>
            <w:shd w:val="clear" w:color="auto" w:fill="D9D9D9"/>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ITEM</w:t>
            </w:r>
          </w:p>
        </w:tc>
        <w:tc>
          <w:tcPr>
            <w:tcW w:w="5704" w:type="dxa"/>
            <w:tcBorders>
              <w:top w:val="single" w:sz="4" w:space="0" w:color="000000"/>
              <w:left w:val="single" w:sz="4" w:space="0" w:color="000000"/>
              <w:bottom w:val="single" w:sz="4" w:space="0" w:color="000000"/>
              <w:right w:val="single" w:sz="4" w:space="0" w:color="000000"/>
            </w:tcBorders>
            <w:shd w:val="clear" w:color="auto" w:fill="D9D9D9"/>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AA1F03">
        <w:trPr>
          <w:trHeight w:val="454"/>
        </w:trPr>
        <w:tc>
          <w:tcPr>
            <w:tcW w:w="4503" w:type="dxa"/>
            <w:tcBorders>
              <w:top w:val="single" w:sz="4" w:space="0" w:color="000000"/>
              <w:left w:val="single" w:sz="4" w:space="0" w:color="000000"/>
              <w:bottom w:val="single" w:sz="4" w:space="0" w:color="000000"/>
              <w:right w:val="single" w:sz="4" w:space="0" w:color="000000"/>
            </w:tcBorders>
          </w:tcPr>
          <w:p w:rsidR="00AA1F03" w:rsidRDefault="00AA1F03">
            <w:pPr>
              <w:jc w:val="both"/>
              <w:rPr>
                <w:rFonts w:ascii="Century Gothic" w:eastAsia="Century Gothic" w:hAnsi="Century Gothic" w:cs="Century Gothic"/>
              </w:rPr>
            </w:pPr>
          </w:p>
        </w:tc>
        <w:tc>
          <w:tcPr>
            <w:tcW w:w="5704" w:type="dxa"/>
            <w:tcBorders>
              <w:top w:val="single" w:sz="4" w:space="0" w:color="000000"/>
              <w:left w:val="single" w:sz="4" w:space="0" w:color="000000"/>
              <w:bottom w:val="single" w:sz="4" w:space="0" w:color="000000"/>
              <w:right w:val="single" w:sz="4" w:space="0" w:color="000000"/>
            </w:tcBorders>
          </w:tcPr>
          <w:p w:rsidR="00AA1F03" w:rsidRDefault="00AA1F03">
            <w:pPr>
              <w:jc w:val="both"/>
              <w:rPr>
                <w:rFonts w:ascii="Century Gothic" w:eastAsia="Century Gothic" w:hAnsi="Century Gothic" w:cs="Century Gothic"/>
              </w:rPr>
            </w:pPr>
          </w:p>
        </w:tc>
      </w:tr>
    </w:tbl>
    <w:p w:rsidR="00AA1F03" w:rsidRDefault="00AA1F03">
      <w:pPr>
        <w:rPr>
          <w:rFonts w:ascii="Century Gothic" w:eastAsia="Century Gothic" w:hAnsi="Century Gothic" w:cs="Century Gothic"/>
        </w:rPr>
      </w:pPr>
    </w:p>
    <w:sectPr w:rsidR="00AA1F03">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0B73">
      <w:pPr>
        <w:spacing w:after="0" w:line="240" w:lineRule="auto"/>
      </w:pPr>
      <w:r>
        <w:separator/>
      </w:r>
    </w:p>
  </w:endnote>
  <w:endnote w:type="continuationSeparator" w:id="0">
    <w:p w:rsidR="00000000" w:rsidRDefault="0050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03" w:rsidRDefault="00500B73">
    <w:pPr>
      <w:pBdr>
        <w:top w:val="nil"/>
        <w:left w:val="nil"/>
        <w:bottom w:val="nil"/>
        <w:right w:val="nil"/>
        <w:between w:val="nil"/>
      </w:pBdr>
      <w:tabs>
        <w:tab w:val="center" w:pos="4419"/>
        <w:tab w:val="right" w:pos="8838"/>
      </w:tabs>
      <w:spacing w:after="0" w:line="240" w:lineRule="auto"/>
      <w:rPr>
        <w:rFonts w:eastAsia="Calibri"/>
        <w:color w:val="000000"/>
      </w:rPr>
    </w:pPr>
    <w:r>
      <w:rPr>
        <w:noProof/>
      </w:rPr>
      <w:drawing>
        <wp:anchor distT="0" distB="0" distL="114300" distR="114300" simplePos="0" relativeHeight="251658240" behindDoc="0" locked="0" layoutInCell="1" hidden="0" allowOverlap="1">
          <wp:simplePos x="0" y="0"/>
          <wp:positionH relativeFrom="column">
            <wp:posOffset>2838450</wp:posOffset>
          </wp:positionH>
          <wp:positionV relativeFrom="paragraph">
            <wp:posOffset>-327024</wp:posOffset>
          </wp:positionV>
          <wp:extent cx="1762125" cy="57150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9106" t="3415" r="38117" b="84086"/>
                  <a:stretch>
                    <a:fillRect/>
                  </a:stretch>
                </pic:blipFill>
                <pic:spPr>
                  <a:xfrm>
                    <a:off x="0" y="0"/>
                    <a:ext cx="17621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1695450</wp:posOffset>
          </wp:positionH>
          <wp:positionV relativeFrom="paragraph">
            <wp:posOffset>-571499</wp:posOffset>
          </wp:positionV>
          <wp:extent cx="1237615" cy="8128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37615"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0B73">
      <w:pPr>
        <w:spacing w:after="0" w:line="240" w:lineRule="auto"/>
      </w:pPr>
      <w:r>
        <w:separator/>
      </w:r>
    </w:p>
  </w:footnote>
  <w:footnote w:type="continuationSeparator" w:id="0">
    <w:p w:rsidR="00000000" w:rsidRDefault="0050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03" w:rsidRDefault="00AA1F03">
    <w:pPr>
      <w:widowControl w:val="0"/>
      <w:pBdr>
        <w:top w:val="nil"/>
        <w:left w:val="nil"/>
        <w:bottom w:val="nil"/>
        <w:right w:val="nil"/>
        <w:between w:val="nil"/>
      </w:pBdr>
      <w:spacing w:after="0"/>
      <w:rPr>
        <w:rFonts w:ascii="Century Gothic" w:eastAsia="Century Gothic" w:hAnsi="Century Gothic" w:cs="Century Gothic"/>
      </w:rPr>
    </w:pPr>
  </w:p>
  <w:tbl>
    <w:tblPr>
      <w:tblStyle w:val="a5"/>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4064"/>
      <w:gridCol w:w="1134"/>
      <w:gridCol w:w="1559"/>
    </w:tblGrid>
    <w:tr w:rsidR="00AA1F03">
      <w:trPr>
        <w:trHeight w:val="693"/>
        <w:jc w:val="center"/>
      </w:trPr>
      <w:tc>
        <w:tcPr>
          <w:tcW w:w="3308" w:type="dxa"/>
          <w:vMerge w:val="restart"/>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extent cx="1247775" cy="571500"/>
                <wp:effectExtent l="0" t="0" r="0" b="0"/>
                <wp:docPr id="10" name="image1.jpg" descr="Descripción: lotipo UCM"/>
                <wp:cNvGraphicFramePr/>
                <a:graphic xmlns:a="http://schemas.openxmlformats.org/drawingml/2006/main">
                  <a:graphicData uri="http://schemas.openxmlformats.org/drawingml/2006/picture">
                    <pic:pic xmlns:pic="http://schemas.openxmlformats.org/drawingml/2006/picture">
                      <pic:nvPicPr>
                        <pic:cNvPr id="0" name="image1.jpg" descr="Descripción: lotipo UCM"/>
                        <pic:cNvPicPr preferRelativeResize="0"/>
                      </pic:nvPicPr>
                      <pic:blipFill>
                        <a:blip r:embed="rId1"/>
                        <a:srcRect/>
                        <a:stretch>
                          <a:fillRect/>
                        </a:stretch>
                      </pic:blipFill>
                      <pic:spPr>
                        <a:xfrm>
                          <a:off x="0" y="0"/>
                          <a:ext cx="1247775" cy="571500"/>
                        </a:xfrm>
                        <a:prstGeom prst="rect">
                          <a:avLst/>
                        </a:prstGeom>
                        <a:ln/>
                      </pic:spPr>
                    </pic:pic>
                  </a:graphicData>
                </a:graphic>
              </wp:inline>
            </w:drawing>
          </w:r>
        </w:p>
      </w:tc>
      <w:tc>
        <w:tcPr>
          <w:tcW w:w="4064" w:type="dxa"/>
          <w:shd w:val="clear" w:color="auto" w:fill="D9D9D9"/>
          <w:vAlign w:val="center"/>
        </w:tcPr>
        <w:p w:rsidR="00AA1F03" w:rsidRDefault="00500B73">
          <w:pPr>
            <w:jc w:val="center"/>
            <w:rPr>
              <w:rFonts w:ascii="Century Gothic" w:eastAsia="Century Gothic" w:hAnsi="Century Gothic" w:cs="Century Gothic"/>
              <w:b/>
            </w:rPr>
          </w:pPr>
          <w:r>
            <w:rPr>
              <w:rFonts w:ascii="Century Gothic" w:eastAsia="Century Gothic" w:hAnsi="Century Gothic" w:cs="Century Gothic"/>
              <w:b/>
            </w:rPr>
            <w:t>PROCESO DE CULTURA Y GESTIÓN AMBIENTAL</w:t>
          </w:r>
        </w:p>
      </w:tc>
      <w:tc>
        <w:tcPr>
          <w:tcW w:w="1134"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559"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SCGA-P-1</w:t>
          </w:r>
          <w:r>
            <w:rPr>
              <w:rFonts w:ascii="Century Gothic" w:eastAsia="Century Gothic" w:hAnsi="Century Gothic" w:cs="Century Gothic"/>
            </w:rPr>
            <w:t>1</w:t>
          </w:r>
        </w:p>
      </w:tc>
    </w:tr>
    <w:tr w:rsidR="00AA1F03">
      <w:trPr>
        <w:trHeight w:val="427"/>
        <w:jc w:val="center"/>
      </w:trPr>
      <w:tc>
        <w:tcPr>
          <w:tcW w:w="3308" w:type="dxa"/>
          <w:vMerge/>
          <w:vAlign w:val="center"/>
        </w:tcPr>
        <w:p w:rsidR="00AA1F03" w:rsidRDefault="00AA1F03">
          <w:pPr>
            <w:widowControl w:val="0"/>
            <w:pBdr>
              <w:top w:val="nil"/>
              <w:left w:val="nil"/>
              <w:bottom w:val="nil"/>
              <w:right w:val="nil"/>
              <w:between w:val="nil"/>
            </w:pBdr>
            <w:spacing w:after="0"/>
            <w:rPr>
              <w:rFonts w:ascii="Century Gothic" w:eastAsia="Century Gothic" w:hAnsi="Century Gothic" w:cs="Century Gothic"/>
              <w:color w:val="000000"/>
            </w:rPr>
          </w:pPr>
        </w:p>
      </w:tc>
      <w:tc>
        <w:tcPr>
          <w:tcW w:w="4064" w:type="dxa"/>
          <w:vMerge w:val="restart"/>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PROCEDIMIENTO PARA LA GESTIÓN INTEGRAL DE RESIDUOS PELIGROSOS </w:t>
          </w:r>
          <w:r>
            <w:rPr>
              <w:rFonts w:ascii="Century Gothic" w:eastAsia="Century Gothic" w:hAnsi="Century Gothic" w:cs="Century Gothic"/>
            </w:rPr>
            <w:t>Y</w:t>
          </w:r>
          <w:r>
            <w:rPr>
              <w:rFonts w:ascii="Century Gothic" w:eastAsia="Century Gothic" w:hAnsi="Century Gothic" w:cs="Century Gothic"/>
              <w:color w:val="000000"/>
            </w:rPr>
            <w:t xml:space="preserve"> ESPECIALES POSCONSUMO </w:t>
          </w:r>
          <w:r>
            <w:rPr>
              <w:rFonts w:ascii="Century Gothic" w:eastAsia="Century Gothic" w:hAnsi="Century Gothic" w:cs="Century Gothic"/>
            </w:rPr>
            <w:t xml:space="preserve">DEL </w:t>
          </w:r>
          <w:r>
            <w:rPr>
              <w:rFonts w:ascii="Century Gothic" w:eastAsia="Century Gothic" w:hAnsi="Century Gothic" w:cs="Century Gothic"/>
              <w:color w:val="000000"/>
            </w:rPr>
            <w:t xml:space="preserve">PUNTO ECOLÓGICO </w:t>
          </w:r>
        </w:p>
      </w:tc>
      <w:tc>
        <w:tcPr>
          <w:tcW w:w="1134"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559"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r>
    <w:tr w:rsidR="00AA1F03">
      <w:trPr>
        <w:trHeight w:val="272"/>
        <w:jc w:val="center"/>
      </w:trPr>
      <w:tc>
        <w:tcPr>
          <w:tcW w:w="3308" w:type="dxa"/>
          <w:vMerge/>
          <w:vAlign w:val="center"/>
        </w:tcPr>
        <w:p w:rsidR="00AA1F03" w:rsidRDefault="00AA1F03">
          <w:pPr>
            <w:widowControl w:val="0"/>
            <w:pBdr>
              <w:top w:val="nil"/>
              <w:left w:val="nil"/>
              <w:bottom w:val="nil"/>
              <w:right w:val="nil"/>
              <w:between w:val="nil"/>
            </w:pBdr>
            <w:spacing w:after="0"/>
            <w:rPr>
              <w:rFonts w:ascii="Century Gothic" w:eastAsia="Century Gothic" w:hAnsi="Century Gothic" w:cs="Century Gothic"/>
              <w:color w:val="000000"/>
            </w:rPr>
          </w:pPr>
        </w:p>
      </w:tc>
      <w:tc>
        <w:tcPr>
          <w:tcW w:w="4064" w:type="dxa"/>
          <w:vMerge/>
        </w:tcPr>
        <w:p w:rsidR="00AA1F03" w:rsidRDefault="00AA1F03">
          <w:pPr>
            <w:widowControl w:val="0"/>
            <w:pBdr>
              <w:top w:val="nil"/>
              <w:left w:val="nil"/>
              <w:bottom w:val="nil"/>
              <w:right w:val="nil"/>
              <w:between w:val="nil"/>
            </w:pBdr>
            <w:spacing w:after="0"/>
            <w:rPr>
              <w:rFonts w:ascii="Century Gothic" w:eastAsia="Century Gothic" w:hAnsi="Century Gothic" w:cs="Century Gothic"/>
              <w:color w:val="000000"/>
            </w:rPr>
          </w:pPr>
        </w:p>
      </w:tc>
      <w:tc>
        <w:tcPr>
          <w:tcW w:w="1134"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559" w:type="dxa"/>
          <w:vAlign w:val="center"/>
        </w:tcPr>
        <w:p w:rsidR="00AA1F03" w:rsidRDefault="00500B73">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 de 4</w:t>
          </w:r>
        </w:p>
      </w:tc>
    </w:tr>
  </w:tbl>
  <w:p w:rsidR="00AA1F03" w:rsidRDefault="00AA1F03">
    <w:pPr>
      <w:pBdr>
        <w:top w:val="nil"/>
        <w:left w:val="nil"/>
        <w:bottom w:val="nil"/>
        <w:right w:val="nil"/>
        <w:between w:val="nil"/>
      </w:pBdr>
      <w:tabs>
        <w:tab w:val="center" w:pos="4419"/>
        <w:tab w:val="right" w:pos="8838"/>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6509"/>
    <w:multiLevelType w:val="multilevel"/>
    <w:tmpl w:val="8FDA3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03"/>
    <w:rsid w:val="00500B73"/>
    <w:rsid w:val="00AA1F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088B"/>
  <w15:docId w15:val="{4F50C53E-4F28-4D27-A4B6-C4C373E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728"/>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C7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728"/>
  </w:style>
  <w:style w:type="paragraph" w:styleId="Piedepgina">
    <w:name w:val="footer"/>
    <w:basedOn w:val="Normal"/>
    <w:link w:val="PiedepginaCar"/>
    <w:uiPriority w:val="99"/>
    <w:unhideWhenUsed/>
    <w:rsid w:val="000C7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728"/>
  </w:style>
  <w:style w:type="table" w:styleId="Tablaconcuadrcula">
    <w:name w:val="Table Grid"/>
    <w:basedOn w:val="Tablanormal"/>
    <w:uiPriority w:val="59"/>
    <w:rsid w:val="000C772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C7728"/>
    <w:pPr>
      <w:ind w:left="720"/>
      <w:contextualSpacing/>
    </w:pPr>
    <w:rPr>
      <w:rFonts w:eastAsia="Calibri" w:cs="Times New Roman"/>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0N7b1yDzEqMfgOjUUGWNDJYRCA==">AMUW2mU52G5eMPM+lEL/MiUL6ssFY/wVYIvfen6rejgL7LkxBaUOogn+7uJBLT/S9+gq3wXkBWoukk6CnxPob0WqnFRI2/wYz/VrF5IogcYhd2FSezud/P72ViWLVG+b3s5BA+450BUi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Camila López Arcila</cp:lastModifiedBy>
  <cp:revision>2</cp:revision>
  <dcterms:created xsi:type="dcterms:W3CDTF">2021-04-16T13:13:00Z</dcterms:created>
  <dcterms:modified xsi:type="dcterms:W3CDTF">2021-07-29T20:18:00Z</dcterms:modified>
</cp:coreProperties>
</file>