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65.0" w:type="dxa"/>
        <w:jc w:val="left"/>
        <w:tblInd w:w="-13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8"/>
        <w:gridCol w:w="8647"/>
        <w:tblGridChange w:id="0">
          <w:tblGrid>
            <w:gridCol w:w="1418"/>
            <w:gridCol w:w="8647"/>
          </w:tblGrid>
        </w:tblGridChange>
      </w:tblGrid>
      <w:tr>
        <w:tc>
          <w:tcPr>
            <w:shd w:fill="d9d9d9" w:val="clear"/>
            <w:vAlign w:val="center"/>
          </w:tcPr>
          <w:p w:rsidR="00000000" w:rsidDel="00000000" w:rsidP="00000000" w:rsidRDefault="00000000" w:rsidRPr="00000000" w14:paraId="00000002">
            <w:pPr>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OBJETIVO</w:t>
            </w:r>
            <w:r w:rsidDel="00000000" w:rsidR="00000000" w:rsidRPr="00000000">
              <w:rPr>
                <w:rtl w:val="0"/>
              </w:rPr>
            </w:r>
          </w:p>
        </w:tc>
        <w:tc>
          <w:tcPr>
            <w:vAlign w:val="top"/>
          </w:tcPr>
          <w:p w:rsidR="00000000" w:rsidDel="00000000" w:rsidP="00000000" w:rsidRDefault="00000000" w:rsidRPr="00000000" w14:paraId="00000003">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Definir lineamientos y orientaciones para la realización de los estudios de mercado, enfocados a brindar elementos para la toma de decisiones, frente a un programa académico o la institución, a través de la recolección de información objetiva.</w:t>
            </w:r>
          </w:p>
        </w:tc>
      </w:tr>
    </w:tbl>
    <w:p w:rsidR="00000000" w:rsidDel="00000000" w:rsidP="00000000" w:rsidRDefault="00000000" w:rsidRPr="00000000" w14:paraId="00000004">
      <w:pPr>
        <w:rPr>
          <w:rFonts w:ascii="Century Gothic" w:cs="Century Gothic" w:eastAsia="Century Gothic" w:hAnsi="Century Gothic"/>
          <w:b w:val="0"/>
          <w:vertAlign w:val="baseline"/>
        </w:rPr>
      </w:pPr>
      <w:r w:rsidDel="00000000" w:rsidR="00000000" w:rsidRPr="00000000">
        <w:rPr>
          <w:rtl w:val="0"/>
        </w:rPr>
      </w:r>
    </w:p>
    <w:tbl>
      <w:tblPr>
        <w:tblStyle w:val="Table2"/>
        <w:tblW w:w="10065.0" w:type="dxa"/>
        <w:jc w:val="left"/>
        <w:tblInd w:w="-13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8"/>
        <w:gridCol w:w="8647"/>
        <w:tblGridChange w:id="0">
          <w:tblGrid>
            <w:gridCol w:w="1418"/>
            <w:gridCol w:w="8647"/>
          </w:tblGrid>
        </w:tblGridChange>
      </w:tblGrid>
      <w:tr>
        <w:tc>
          <w:tcPr>
            <w:shd w:fill="d9d9d9" w:val="clear"/>
            <w:vAlign w:val="center"/>
          </w:tcPr>
          <w:p w:rsidR="00000000" w:rsidDel="00000000" w:rsidP="00000000" w:rsidRDefault="00000000" w:rsidRPr="00000000" w14:paraId="00000005">
            <w:pPr>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ALCANCE</w:t>
            </w:r>
            <w:r w:rsidDel="00000000" w:rsidR="00000000" w:rsidRPr="00000000">
              <w:rPr>
                <w:rtl w:val="0"/>
              </w:rPr>
            </w:r>
          </w:p>
        </w:tc>
        <w:tc>
          <w:tcPr>
            <w:vAlign w:val="top"/>
          </w:tcPr>
          <w:p w:rsidR="00000000" w:rsidDel="00000000" w:rsidP="00000000" w:rsidRDefault="00000000" w:rsidRPr="00000000" w14:paraId="00000006">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Desde la estructuración del cronograma de los estudios de mercado hasta la presentación del documento al programa académico, unidad, directivas o área de interés.  </w:t>
            </w:r>
          </w:p>
        </w:tc>
      </w:tr>
    </w:tbl>
    <w:p w:rsidR="00000000" w:rsidDel="00000000" w:rsidP="00000000" w:rsidRDefault="00000000" w:rsidRPr="00000000" w14:paraId="00000007">
      <w:pPr>
        <w:rPr>
          <w:rFonts w:ascii="Century Gothic" w:cs="Century Gothic" w:eastAsia="Century Gothic" w:hAnsi="Century Gothic"/>
          <w:b w:val="0"/>
          <w:vertAlign w:val="baseline"/>
        </w:rPr>
      </w:pPr>
      <w:r w:rsidDel="00000000" w:rsidR="00000000" w:rsidRPr="00000000">
        <w:rPr>
          <w:rtl w:val="0"/>
        </w:rPr>
      </w:r>
    </w:p>
    <w:tbl>
      <w:tblPr>
        <w:tblStyle w:val="Table3"/>
        <w:tblW w:w="10065.0" w:type="dxa"/>
        <w:jc w:val="left"/>
        <w:tblInd w:w="-13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86"/>
        <w:gridCol w:w="8379"/>
        <w:tblGridChange w:id="0">
          <w:tblGrid>
            <w:gridCol w:w="1686"/>
            <w:gridCol w:w="8379"/>
          </w:tblGrid>
        </w:tblGridChange>
      </w:tblGrid>
      <w:tr>
        <w:tc>
          <w:tcPr>
            <w:shd w:fill="d9d9d9" w:val="clea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DEFINICIONES</w:t>
            </w:r>
            <w:r w:rsidDel="00000000" w:rsidR="00000000" w:rsidRPr="00000000">
              <w:rPr>
                <w:rtl w:val="0"/>
              </w:rPr>
            </w:r>
          </w:p>
        </w:tc>
        <w:tc>
          <w:tcPr>
            <w:vAlign w:val="top"/>
          </w:tcPr>
          <w:p w:rsidR="00000000" w:rsidDel="00000000" w:rsidP="00000000" w:rsidRDefault="00000000" w:rsidRPr="00000000" w14:paraId="00000009">
            <w:pPr>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FASE EXPLORATORIA: </w:t>
            </w:r>
            <w:r w:rsidDel="00000000" w:rsidR="00000000" w:rsidRPr="00000000">
              <w:rPr>
                <w:rFonts w:ascii="Century Gothic" w:cs="Century Gothic" w:eastAsia="Century Gothic" w:hAnsi="Century Gothic"/>
                <w:vertAlign w:val="baseline"/>
                <w:rtl w:val="0"/>
              </w:rPr>
              <w:t xml:space="preserve">en esta fase se desarrolla una contextualización del proyecto del estudio de mercados, realizando una descripción del programa académico, los factores influyentes, los objetivos del proyecto de investigación, su justificación, la definición del mercado objetivo, las alianzas pertinentes, los recursos, las necesidades de información.</w:t>
            </w:r>
            <w:r w:rsidDel="00000000" w:rsidR="00000000" w:rsidRPr="00000000">
              <w:rPr>
                <w:rtl w:val="0"/>
              </w:rPr>
            </w:r>
          </w:p>
          <w:p w:rsidR="00000000" w:rsidDel="00000000" w:rsidP="00000000" w:rsidRDefault="00000000" w:rsidRPr="00000000" w14:paraId="0000000A">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b w:val="1"/>
                <w:vertAlign w:val="baseline"/>
                <w:rtl w:val="0"/>
              </w:rPr>
              <w:t xml:space="preserve">FASE CONCLUYENTE: </w:t>
            </w:r>
            <w:r w:rsidDel="00000000" w:rsidR="00000000" w:rsidRPr="00000000">
              <w:rPr>
                <w:rFonts w:ascii="Century Gothic" w:cs="Century Gothic" w:eastAsia="Century Gothic" w:hAnsi="Century Gothic"/>
                <w:vertAlign w:val="baseline"/>
                <w:rtl w:val="0"/>
              </w:rPr>
              <w:t xml:space="preserve">comprende el diseño del estudio, su ejecución, recolección de la información a través del trabajo de campo, análisis de datos, gráficos y conclusiones para la toma de decisiones.</w:t>
            </w:r>
          </w:p>
          <w:p w:rsidR="00000000" w:rsidDel="00000000" w:rsidP="00000000" w:rsidRDefault="00000000" w:rsidRPr="00000000" w14:paraId="0000000B">
            <w:pPr>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TIPOS ESTUDIOS DE MERCADO: </w:t>
            </w:r>
            <w:r w:rsidDel="00000000" w:rsidR="00000000" w:rsidRPr="00000000">
              <w:rPr>
                <w:rFonts w:ascii="Century Gothic" w:cs="Century Gothic" w:eastAsia="Century Gothic" w:hAnsi="Century Gothic"/>
                <w:vertAlign w:val="baseline"/>
                <w:rtl w:val="0"/>
              </w:rPr>
              <w:t xml:space="preserve">los estudios de mercado abarca</w:t>
            </w:r>
            <w:r w:rsidDel="00000000" w:rsidR="00000000" w:rsidRPr="00000000">
              <w:rPr>
                <w:rFonts w:ascii="Century Gothic" w:cs="Century Gothic" w:eastAsia="Century Gothic" w:hAnsi="Century Gothic"/>
                <w:b w:val="1"/>
                <w:vertAlign w:val="baseline"/>
                <w:rtl w:val="0"/>
              </w:rPr>
              <w:t xml:space="preserve"> </w:t>
            </w:r>
            <w:r w:rsidDel="00000000" w:rsidR="00000000" w:rsidRPr="00000000">
              <w:rPr>
                <w:rFonts w:ascii="Century Gothic" w:cs="Century Gothic" w:eastAsia="Century Gothic" w:hAnsi="Century Gothic"/>
                <w:vertAlign w:val="baseline"/>
                <w:rtl w:val="0"/>
              </w:rPr>
              <w:t xml:space="preserve">estudio de la competencia, estudio de percepción, estudios de satisfacción, estudios de caracterización, estudios a padres de familia, estudios de renovación de registro calificado, estudios de </w:t>
            </w:r>
            <w:r w:rsidDel="00000000" w:rsidR="00000000" w:rsidRPr="00000000">
              <w:rPr>
                <w:rFonts w:ascii="Century Gothic" w:cs="Century Gothic" w:eastAsia="Century Gothic" w:hAnsi="Century Gothic"/>
                <w:rtl w:val="0"/>
              </w:rPr>
              <w:t xml:space="preserve">pertinencia</w:t>
            </w:r>
            <w:r w:rsidDel="00000000" w:rsidR="00000000" w:rsidRPr="00000000">
              <w:rPr>
                <w:rFonts w:ascii="Century Gothic" w:cs="Century Gothic" w:eastAsia="Century Gothic" w:hAnsi="Century Gothic"/>
                <w:vertAlign w:val="baseline"/>
                <w:rtl w:val="0"/>
              </w:rPr>
              <w:t xml:space="preserve"> para nuevos programas académicos y análisis de tendencias de las preferencias de los prospectos.</w:t>
            </w:r>
            <w:r w:rsidDel="00000000" w:rsidR="00000000" w:rsidRPr="00000000">
              <w:rPr>
                <w:rtl w:val="0"/>
              </w:rPr>
            </w:r>
          </w:p>
        </w:tc>
      </w:tr>
    </w:tbl>
    <w:p w:rsidR="00000000" w:rsidDel="00000000" w:rsidP="00000000" w:rsidRDefault="00000000" w:rsidRPr="00000000" w14:paraId="0000000C">
      <w:pPr>
        <w:rPr>
          <w:rFonts w:ascii="Century Gothic" w:cs="Century Gothic" w:eastAsia="Century Gothic" w:hAnsi="Century Gothic"/>
          <w:vertAlign w:val="baseline"/>
        </w:rPr>
      </w:pPr>
      <w:r w:rsidDel="00000000" w:rsidR="00000000" w:rsidRPr="00000000">
        <w:rPr>
          <w:rtl w:val="0"/>
        </w:rPr>
      </w:r>
    </w:p>
    <w:tbl>
      <w:tblPr>
        <w:tblStyle w:val="Table4"/>
        <w:tblW w:w="10129.0" w:type="dxa"/>
        <w:jc w:val="left"/>
        <w:tblInd w:w="-14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5"/>
        <w:gridCol w:w="495"/>
        <w:gridCol w:w="4290"/>
        <w:gridCol w:w="2268"/>
        <w:gridCol w:w="2551"/>
        <w:tblGridChange w:id="0">
          <w:tblGrid>
            <w:gridCol w:w="525"/>
            <w:gridCol w:w="495"/>
            <w:gridCol w:w="4290"/>
            <w:gridCol w:w="2268"/>
            <w:gridCol w:w="2551"/>
          </w:tblGrid>
        </w:tblGridChange>
      </w:tblGrid>
      <w:tr>
        <w:tc>
          <w:tcPr>
            <w:gridSpan w:val="5"/>
            <w:shd w:fill="d9d9d9" w:val="clear"/>
            <w:vAlign w:val="top"/>
          </w:tcPr>
          <w:p w:rsidR="00000000" w:rsidDel="00000000" w:rsidP="00000000" w:rsidRDefault="00000000" w:rsidRPr="00000000" w14:paraId="0000000D">
            <w:pPr>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DESCRIPCIÓN DEL PROCEDIMIENTO </w:t>
            </w:r>
            <w:r w:rsidDel="00000000" w:rsidR="00000000" w:rsidRPr="00000000">
              <w:rPr>
                <w:rtl w:val="0"/>
              </w:rPr>
            </w:r>
          </w:p>
        </w:tc>
      </w:tr>
      <w:tr>
        <w:tc>
          <w:tcPr>
            <w:shd w:fill="d9d9d9" w:val="clear"/>
            <w:vAlign w:val="center"/>
          </w:tcPr>
          <w:p w:rsidR="00000000" w:rsidDel="00000000" w:rsidP="00000000" w:rsidRDefault="00000000" w:rsidRPr="00000000" w14:paraId="00000012">
            <w:pPr>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Nº</w:t>
            </w:r>
            <w:r w:rsidDel="00000000" w:rsidR="00000000" w:rsidRPr="00000000">
              <w:rPr>
                <w:rtl w:val="0"/>
              </w:rPr>
            </w:r>
          </w:p>
        </w:tc>
        <w:tc>
          <w:tcPr>
            <w:shd w:fill="d9d9d9" w:val="clear"/>
            <w:vAlign w:val="top"/>
          </w:tcPr>
          <w:p w:rsidR="00000000" w:rsidDel="00000000" w:rsidP="00000000" w:rsidRDefault="00000000" w:rsidRPr="00000000" w14:paraId="00000013">
            <w:pPr>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PHVA</w:t>
            </w:r>
            <w:r w:rsidDel="00000000" w:rsidR="00000000" w:rsidRPr="00000000">
              <w:rPr>
                <w:rtl w:val="0"/>
              </w:rPr>
            </w:r>
          </w:p>
        </w:tc>
        <w:tc>
          <w:tcPr>
            <w:shd w:fill="d9d9d9" w:val="clear"/>
            <w:vAlign w:val="center"/>
          </w:tcPr>
          <w:p w:rsidR="00000000" w:rsidDel="00000000" w:rsidP="00000000" w:rsidRDefault="00000000" w:rsidRPr="00000000" w14:paraId="00000014">
            <w:pPr>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ACTIVIDAD / DESCRIPCIÓN</w:t>
            </w:r>
            <w:r w:rsidDel="00000000" w:rsidR="00000000" w:rsidRPr="00000000">
              <w:rPr>
                <w:rtl w:val="0"/>
              </w:rPr>
            </w:r>
          </w:p>
        </w:tc>
        <w:tc>
          <w:tcPr>
            <w:shd w:fill="d9d9d9" w:val="clear"/>
            <w:vAlign w:val="center"/>
          </w:tcPr>
          <w:p w:rsidR="00000000" w:rsidDel="00000000" w:rsidP="00000000" w:rsidRDefault="00000000" w:rsidRPr="00000000" w14:paraId="00000015">
            <w:pPr>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RESPONSABLE</w:t>
            </w:r>
            <w:r w:rsidDel="00000000" w:rsidR="00000000" w:rsidRPr="00000000">
              <w:rPr>
                <w:rtl w:val="0"/>
              </w:rPr>
            </w:r>
          </w:p>
        </w:tc>
        <w:tc>
          <w:tcPr>
            <w:shd w:fill="d9d9d9" w:val="clear"/>
            <w:vAlign w:val="center"/>
          </w:tcPr>
          <w:p w:rsidR="00000000" w:rsidDel="00000000" w:rsidP="00000000" w:rsidRDefault="00000000" w:rsidRPr="00000000" w14:paraId="00000016">
            <w:pPr>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REGISTRO (MEDIO DE VERIFICACIÓN)</w:t>
            </w:r>
            <w:r w:rsidDel="00000000" w:rsidR="00000000" w:rsidRPr="00000000">
              <w:rPr>
                <w:rtl w:val="0"/>
              </w:rPr>
            </w:r>
          </w:p>
        </w:tc>
      </w:tr>
      <w:tr>
        <w:trPr>
          <w:trHeight w:val="704" w:hRule="atLeast"/>
        </w:trPr>
        <w:tc>
          <w:tcPr>
            <w:vAlign w:val="center"/>
          </w:tcPr>
          <w:p w:rsidR="00000000" w:rsidDel="00000000" w:rsidP="00000000" w:rsidRDefault="00000000" w:rsidRPr="00000000" w14:paraId="00000017">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01</w:t>
            </w:r>
          </w:p>
          <w:p w:rsidR="00000000" w:rsidDel="00000000" w:rsidP="00000000" w:rsidRDefault="00000000" w:rsidRPr="00000000" w14:paraId="00000018">
            <w:pPr>
              <w:jc w:val="center"/>
              <w:rPr>
                <w:rFonts w:ascii="Century Gothic" w:cs="Century Gothic" w:eastAsia="Century Gothic" w:hAnsi="Century Gothic"/>
                <w:vertAlign w:val="baseline"/>
              </w:rPr>
            </w:pPr>
            <w:r w:rsidDel="00000000" w:rsidR="00000000" w:rsidRPr="00000000">
              <w:rPr>
                <w:rtl w:val="0"/>
              </w:rPr>
            </w:r>
          </w:p>
        </w:tc>
        <w:tc>
          <w:tcPr>
            <w:vAlign w:val="center"/>
          </w:tcPr>
          <w:p w:rsidR="00000000" w:rsidDel="00000000" w:rsidP="00000000" w:rsidRDefault="00000000" w:rsidRPr="00000000" w14:paraId="00000019">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P</w:t>
            </w:r>
          </w:p>
        </w:tc>
        <w:tc>
          <w:tcPr>
            <w:vAlign w:val="center"/>
          </w:tcPr>
          <w:p w:rsidR="00000000" w:rsidDel="00000000" w:rsidP="00000000" w:rsidRDefault="00000000" w:rsidRPr="00000000" w14:paraId="0000001A">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Solicitud de la realización del estudio de mercado. </w:t>
            </w:r>
          </w:p>
          <w:p w:rsidR="00000000" w:rsidDel="00000000" w:rsidP="00000000" w:rsidRDefault="00000000" w:rsidRPr="00000000" w14:paraId="0000001B">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Programación de los estudios a realizar por parte de la </w:t>
            </w:r>
            <w:r w:rsidDel="00000000" w:rsidR="00000000" w:rsidRPr="00000000">
              <w:rPr>
                <w:rFonts w:ascii="Century Gothic" w:cs="Century Gothic" w:eastAsia="Century Gothic" w:hAnsi="Century Gothic"/>
                <w:vertAlign w:val="baseline"/>
                <w:rtl w:val="0"/>
              </w:rPr>
              <w:t xml:space="preserve">Unidad de mercadeo y comunicaciones</w:t>
            </w:r>
            <w:r w:rsidDel="00000000" w:rsidR="00000000" w:rsidRPr="00000000">
              <w:rPr>
                <w:rFonts w:ascii="Century Gothic" w:cs="Century Gothic" w:eastAsia="Century Gothic" w:hAnsi="Century Gothic"/>
                <w:vertAlign w:val="baseline"/>
                <w:rtl w:val="0"/>
              </w:rPr>
              <w:t xml:space="preserve">, incluyendo estudio de la competencia, estudio de percepción, estudios de satisfacción, estudios de caracterización, estudios a padres de familia, estudios de renovación de registro calificado, estudios de pertinencia para nuevos programas académicos y análisis de tendencias de las preferencias de los prospectos, y los estudios pertinentes con las necesidades institucionales.</w:t>
            </w:r>
          </w:p>
        </w:tc>
        <w:tc>
          <w:tcPr>
            <w:vAlign w:val="center"/>
          </w:tcPr>
          <w:p w:rsidR="00000000" w:rsidDel="00000000" w:rsidP="00000000" w:rsidRDefault="00000000" w:rsidRPr="00000000" w14:paraId="0000001C">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Consejo de Rectoría.</w:t>
            </w:r>
          </w:p>
          <w:p w:rsidR="00000000" w:rsidDel="00000000" w:rsidP="00000000" w:rsidRDefault="00000000" w:rsidRPr="00000000" w14:paraId="0000001D">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Vicerrectoría Académica.</w:t>
            </w:r>
          </w:p>
          <w:p w:rsidR="00000000" w:rsidDel="00000000" w:rsidP="00000000" w:rsidRDefault="00000000" w:rsidRPr="00000000" w14:paraId="0000001E">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Coordinación de Mercadeo y Comunicaciones. </w:t>
            </w:r>
          </w:p>
        </w:tc>
        <w:tc>
          <w:tcPr>
            <w:vAlign w:val="center"/>
          </w:tcPr>
          <w:p w:rsidR="00000000" w:rsidDel="00000000" w:rsidP="00000000" w:rsidRDefault="00000000" w:rsidRPr="00000000" w14:paraId="0000001F">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Acta de Consejo de Rectoría. </w:t>
            </w:r>
          </w:p>
          <w:p w:rsidR="00000000" w:rsidDel="00000000" w:rsidP="00000000" w:rsidRDefault="00000000" w:rsidRPr="00000000" w14:paraId="00000020">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Comunicación interna SAIA. </w:t>
            </w:r>
          </w:p>
          <w:p w:rsidR="00000000" w:rsidDel="00000000" w:rsidP="00000000" w:rsidRDefault="00000000" w:rsidRPr="00000000" w14:paraId="00000021">
            <w:pPr>
              <w:jc w:val="center"/>
              <w:rPr>
                <w:rFonts w:ascii="Century Gothic" w:cs="Century Gothic" w:eastAsia="Century Gothic" w:hAnsi="Century Gothic"/>
                <w:vertAlign w:val="baseline"/>
              </w:rPr>
            </w:pPr>
            <w:r w:rsidDel="00000000" w:rsidR="00000000" w:rsidRPr="00000000">
              <w:rPr>
                <w:rtl w:val="0"/>
              </w:rPr>
            </w:r>
          </w:p>
        </w:tc>
      </w:tr>
      <w:tr>
        <w:trPr>
          <w:trHeight w:val="829" w:hRule="atLeast"/>
        </w:trPr>
        <w:tc>
          <w:tcPr>
            <w:vAlign w:val="center"/>
          </w:tcPr>
          <w:p w:rsidR="00000000" w:rsidDel="00000000" w:rsidP="00000000" w:rsidRDefault="00000000" w:rsidRPr="00000000" w14:paraId="00000022">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02</w:t>
            </w:r>
          </w:p>
        </w:tc>
        <w:tc>
          <w:tcPr>
            <w:vAlign w:val="center"/>
          </w:tcPr>
          <w:p w:rsidR="00000000" w:rsidDel="00000000" w:rsidP="00000000" w:rsidRDefault="00000000" w:rsidRPr="00000000" w14:paraId="00000023">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P</w:t>
            </w:r>
          </w:p>
        </w:tc>
        <w:tc>
          <w:tcPr>
            <w:vAlign w:val="center"/>
          </w:tcPr>
          <w:p w:rsidR="00000000" w:rsidDel="00000000" w:rsidP="00000000" w:rsidRDefault="00000000" w:rsidRPr="00000000" w14:paraId="00000024">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Conceptualización del estudio a través del diseño de la fase exploratoria del estudio de perti</w:t>
            </w:r>
            <w:r w:rsidDel="00000000" w:rsidR="00000000" w:rsidRPr="00000000">
              <w:rPr>
                <w:rFonts w:ascii="Century Gothic" w:cs="Century Gothic" w:eastAsia="Century Gothic" w:hAnsi="Century Gothic"/>
                <w:rtl w:val="0"/>
              </w:rPr>
              <w:t xml:space="preserve">nencia</w:t>
            </w:r>
            <w:r w:rsidDel="00000000" w:rsidR="00000000" w:rsidRPr="00000000">
              <w:rPr>
                <w:rFonts w:ascii="Century Gothic" w:cs="Century Gothic" w:eastAsia="Century Gothic" w:hAnsi="Century Gothic"/>
                <w:vertAlign w:val="baseline"/>
                <w:rtl w:val="0"/>
              </w:rPr>
              <w:t xml:space="preserve">.</w:t>
            </w:r>
          </w:p>
          <w:p w:rsidR="00000000" w:rsidDel="00000000" w:rsidP="00000000" w:rsidRDefault="00000000" w:rsidRPr="00000000" w14:paraId="00000025">
            <w:pPr>
              <w:ind w:left="720" w:firstLine="0"/>
              <w:jc w:val="both"/>
              <w:rPr>
                <w:rFonts w:ascii="Century Gothic" w:cs="Century Gothic" w:eastAsia="Century Gothic" w:hAnsi="Century Gothic"/>
                <w:vertAlign w:val="baseline"/>
              </w:rPr>
            </w:pPr>
            <w:r w:rsidDel="00000000" w:rsidR="00000000" w:rsidRPr="00000000">
              <w:rPr>
                <w:rtl w:val="0"/>
              </w:rPr>
            </w:r>
          </w:p>
        </w:tc>
        <w:tc>
          <w:tcPr>
            <w:vAlign w:val="center"/>
          </w:tcPr>
          <w:p w:rsidR="00000000" w:rsidDel="00000000" w:rsidP="00000000" w:rsidRDefault="00000000" w:rsidRPr="00000000" w14:paraId="00000026">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Dirección de programa y líder de propuesta. </w:t>
            </w:r>
          </w:p>
        </w:tc>
        <w:tc>
          <w:tcPr>
            <w:vAlign w:val="center"/>
          </w:tcPr>
          <w:p w:rsidR="00000000" w:rsidDel="00000000" w:rsidP="00000000" w:rsidRDefault="00000000" w:rsidRPr="00000000" w14:paraId="00000027">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Formato diligenciado de conceptualización del estudio de mercado.</w:t>
            </w:r>
          </w:p>
          <w:p w:rsidR="00000000" w:rsidDel="00000000" w:rsidP="00000000" w:rsidRDefault="00000000" w:rsidRPr="00000000" w14:paraId="00000028">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GME – F - 8</w:t>
            </w:r>
          </w:p>
        </w:tc>
      </w:tr>
      <w:tr>
        <w:trPr>
          <w:trHeight w:val="1136" w:hRule="atLeast"/>
        </w:trPr>
        <w:tc>
          <w:tcPr>
            <w:vAlign w:val="center"/>
          </w:tcPr>
          <w:p w:rsidR="00000000" w:rsidDel="00000000" w:rsidP="00000000" w:rsidRDefault="00000000" w:rsidRPr="00000000" w14:paraId="00000029">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03</w:t>
            </w:r>
          </w:p>
        </w:tc>
        <w:tc>
          <w:tcPr>
            <w:vAlign w:val="center"/>
          </w:tcPr>
          <w:p w:rsidR="00000000" w:rsidDel="00000000" w:rsidP="00000000" w:rsidRDefault="00000000" w:rsidRPr="00000000" w14:paraId="0000002A">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P</w:t>
            </w:r>
          </w:p>
        </w:tc>
        <w:tc>
          <w:tcPr>
            <w:vAlign w:val="center"/>
          </w:tcPr>
          <w:p w:rsidR="00000000" w:rsidDel="00000000" w:rsidP="00000000" w:rsidRDefault="00000000" w:rsidRPr="00000000" w14:paraId="0000002B">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Definición de las necesidades de información y los objetivos específicos.</w:t>
            </w:r>
          </w:p>
        </w:tc>
        <w:tc>
          <w:tcPr>
            <w:vAlign w:val="center"/>
          </w:tcPr>
          <w:p w:rsidR="00000000" w:rsidDel="00000000" w:rsidP="00000000" w:rsidRDefault="00000000" w:rsidRPr="00000000" w14:paraId="0000002C">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Analista de Mercadeo.</w:t>
            </w:r>
          </w:p>
          <w:p w:rsidR="00000000" w:rsidDel="00000000" w:rsidP="00000000" w:rsidRDefault="00000000" w:rsidRPr="00000000" w14:paraId="0000002D">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Dirección de programa y líder de propuesta.</w:t>
            </w:r>
          </w:p>
        </w:tc>
        <w:tc>
          <w:tcPr>
            <w:vAlign w:val="center"/>
          </w:tcPr>
          <w:p w:rsidR="00000000" w:rsidDel="00000000" w:rsidP="00000000" w:rsidRDefault="00000000" w:rsidRPr="00000000" w14:paraId="0000002E">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Documento del Estudio de mercados.</w:t>
            </w:r>
          </w:p>
          <w:p w:rsidR="00000000" w:rsidDel="00000000" w:rsidP="00000000" w:rsidRDefault="00000000" w:rsidRPr="00000000" w14:paraId="0000002F">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GME – F - 14</w:t>
            </w:r>
          </w:p>
        </w:tc>
      </w:tr>
      <w:tr>
        <w:trPr>
          <w:trHeight w:val="1136" w:hRule="atLeast"/>
        </w:trPr>
        <w:tc>
          <w:tcPr>
            <w:vAlign w:val="center"/>
          </w:tcPr>
          <w:p w:rsidR="00000000" w:rsidDel="00000000" w:rsidP="00000000" w:rsidRDefault="00000000" w:rsidRPr="00000000" w14:paraId="00000030">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04</w:t>
            </w:r>
          </w:p>
        </w:tc>
        <w:tc>
          <w:tcPr>
            <w:vAlign w:val="center"/>
          </w:tcPr>
          <w:p w:rsidR="00000000" w:rsidDel="00000000" w:rsidP="00000000" w:rsidRDefault="00000000" w:rsidRPr="00000000" w14:paraId="00000031">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P</w:t>
            </w:r>
          </w:p>
        </w:tc>
        <w:tc>
          <w:tcPr>
            <w:vAlign w:val="center"/>
          </w:tcPr>
          <w:p w:rsidR="00000000" w:rsidDel="00000000" w:rsidP="00000000" w:rsidRDefault="00000000" w:rsidRPr="00000000" w14:paraId="00000032">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Diseño de la fase concluyente de la investigación. </w:t>
            </w:r>
          </w:p>
        </w:tc>
        <w:tc>
          <w:tcPr>
            <w:vAlign w:val="center"/>
          </w:tcPr>
          <w:p w:rsidR="00000000" w:rsidDel="00000000" w:rsidP="00000000" w:rsidRDefault="00000000" w:rsidRPr="00000000" w14:paraId="00000033">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Analista de Mercadeo</w:t>
            </w:r>
          </w:p>
        </w:tc>
        <w:tc>
          <w:tcPr>
            <w:vAlign w:val="center"/>
          </w:tcPr>
          <w:p w:rsidR="00000000" w:rsidDel="00000000" w:rsidP="00000000" w:rsidRDefault="00000000" w:rsidRPr="00000000" w14:paraId="00000034">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Documento del Estudio de mercados.</w:t>
            </w:r>
          </w:p>
          <w:p w:rsidR="00000000" w:rsidDel="00000000" w:rsidP="00000000" w:rsidRDefault="00000000" w:rsidRPr="00000000" w14:paraId="00000035">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GME – F - 14</w:t>
            </w:r>
          </w:p>
        </w:tc>
      </w:tr>
      <w:tr>
        <w:trPr>
          <w:trHeight w:val="1136" w:hRule="atLeast"/>
        </w:trPr>
        <w:tc>
          <w:tcPr>
            <w:vAlign w:val="center"/>
          </w:tcPr>
          <w:p w:rsidR="00000000" w:rsidDel="00000000" w:rsidP="00000000" w:rsidRDefault="00000000" w:rsidRPr="00000000" w14:paraId="00000036">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05</w:t>
            </w:r>
          </w:p>
        </w:tc>
        <w:tc>
          <w:tcPr>
            <w:vAlign w:val="center"/>
          </w:tcPr>
          <w:p w:rsidR="00000000" w:rsidDel="00000000" w:rsidP="00000000" w:rsidRDefault="00000000" w:rsidRPr="00000000" w14:paraId="00000037">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P</w:t>
            </w:r>
          </w:p>
        </w:tc>
        <w:tc>
          <w:tcPr>
            <w:vAlign w:val="center"/>
          </w:tcPr>
          <w:p w:rsidR="00000000" w:rsidDel="00000000" w:rsidP="00000000" w:rsidRDefault="00000000" w:rsidRPr="00000000" w14:paraId="00000038">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Diseño de la muestra representativa de la población con soporte estadístico, cuando aplique.</w:t>
            </w:r>
          </w:p>
        </w:tc>
        <w:tc>
          <w:tcPr>
            <w:vAlign w:val="center"/>
          </w:tcPr>
          <w:p w:rsidR="00000000" w:rsidDel="00000000" w:rsidP="00000000" w:rsidRDefault="00000000" w:rsidRPr="00000000" w14:paraId="00000039">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Analista de Mercadeo</w:t>
            </w:r>
          </w:p>
        </w:tc>
        <w:tc>
          <w:tcPr>
            <w:vAlign w:val="center"/>
          </w:tcPr>
          <w:p w:rsidR="00000000" w:rsidDel="00000000" w:rsidP="00000000" w:rsidRDefault="00000000" w:rsidRPr="00000000" w14:paraId="0000003A">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Documento del Estudio de mercados.</w:t>
            </w:r>
          </w:p>
          <w:p w:rsidR="00000000" w:rsidDel="00000000" w:rsidP="00000000" w:rsidRDefault="00000000" w:rsidRPr="00000000" w14:paraId="0000003B">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GME – F - 14</w:t>
            </w:r>
          </w:p>
        </w:tc>
      </w:tr>
      <w:tr>
        <w:trPr>
          <w:trHeight w:val="1136" w:hRule="atLeast"/>
        </w:trPr>
        <w:tc>
          <w:tcPr>
            <w:vAlign w:val="center"/>
          </w:tcPr>
          <w:p w:rsidR="00000000" w:rsidDel="00000000" w:rsidP="00000000" w:rsidRDefault="00000000" w:rsidRPr="00000000" w14:paraId="0000003C">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06</w:t>
            </w:r>
          </w:p>
        </w:tc>
        <w:tc>
          <w:tcPr>
            <w:vAlign w:val="center"/>
          </w:tcPr>
          <w:p w:rsidR="00000000" w:rsidDel="00000000" w:rsidP="00000000" w:rsidRDefault="00000000" w:rsidRPr="00000000" w14:paraId="0000003D">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H</w:t>
            </w:r>
          </w:p>
        </w:tc>
        <w:tc>
          <w:tcPr>
            <w:vAlign w:val="center"/>
          </w:tcPr>
          <w:p w:rsidR="00000000" w:rsidDel="00000000" w:rsidP="00000000" w:rsidRDefault="00000000" w:rsidRPr="00000000" w14:paraId="0000003E">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Recolección de datos a través del trabajo de campo, teniendo en cuenta las técnicas cuantitativas y / o cualitativas.</w:t>
            </w:r>
          </w:p>
        </w:tc>
        <w:tc>
          <w:tcPr>
            <w:vAlign w:val="center"/>
          </w:tcPr>
          <w:p w:rsidR="00000000" w:rsidDel="00000000" w:rsidP="00000000" w:rsidRDefault="00000000" w:rsidRPr="00000000" w14:paraId="0000003F">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Analista de Mercadeo</w:t>
            </w:r>
          </w:p>
        </w:tc>
        <w:tc>
          <w:tcPr>
            <w:vAlign w:val="center"/>
          </w:tcPr>
          <w:p w:rsidR="00000000" w:rsidDel="00000000" w:rsidP="00000000" w:rsidRDefault="00000000" w:rsidRPr="00000000" w14:paraId="00000040">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Formato diligenciado para la recolección de </w:t>
            </w:r>
            <w:r w:rsidDel="00000000" w:rsidR="00000000" w:rsidRPr="00000000">
              <w:rPr>
                <w:rFonts w:ascii="Century Gothic" w:cs="Century Gothic" w:eastAsia="Century Gothic" w:hAnsi="Century Gothic"/>
                <w:rtl w:val="0"/>
              </w:rPr>
              <w:t xml:space="preserve">información de estudios</w:t>
            </w:r>
            <w:r w:rsidDel="00000000" w:rsidR="00000000" w:rsidRPr="00000000">
              <w:rPr>
                <w:rFonts w:ascii="Century Gothic" w:cs="Century Gothic" w:eastAsia="Century Gothic" w:hAnsi="Century Gothic"/>
                <w:vertAlign w:val="baseline"/>
                <w:rtl w:val="0"/>
              </w:rPr>
              <w:t xml:space="preserve"> de mercado.</w:t>
            </w:r>
          </w:p>
          <w:p w:rsidR="00000000" w:rsidDel="00000000" w:rsidP="00000000" w:rsidRDefault="00000000" w:rsidRPr="00000000" w14:paraId="00000041">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GME –F -1</w:t>
            </w:r>
          </w:p>
        </w:tc>
      </w:tr>
      <w:tr>
        <w:trPr>
          <w:trHeight w:val="1136" w:hRule="atLeast"/>
        </w:trPr>
        <w:tc>
          <w:tcPr>
            <w:vAlign w:val="center"/>
          </w:tcPr>
          <w:p w:rsidR="00000000" w:rsidDel="00000000" w:rsidP="00000000" w:rsidRDefault="00000000" w:rsidRPr="00000000" w14:paraId="00000042">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07</w:t>
            </w:r>
          </w:p>
        </w:tc>
        <w:tc>
          <w:tcPr>
            <w:vAlign w:val="center"/>
          </w:tcPr>
          <w:p w:rsidR="00000000" w:rsidDel="00000000" w:rsidP="00000000" w:rsidRDefault="00000000" w:rsidRPr="00000000" w14:paraId="00000043">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H</w:t>
            </w:r>
          </w:p>
        </w:tc>
        <w:tc>
          <w:tcPr>
            <w:vAlign w:val="center"/>
          </w:tcPr>
          <w:p w:rsidR="00000000" w:rsidDel="00000000" w:rsidP="00000000" w:rsidRDefault="00000000" w:rsidRPr="00000000" w14:paraId="00000044">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Tabulación y procesamiento de los datos a través del análisis para convertirlos en información. </w:t>
            </w:r>
          </w:p>
        </w:tc>
        <w:tc>
          <w:tcPr>
            <w:vAlign w:val="center"/>
          </w:tcPr>
          <w:p w:rsidR="00000000" w:rsidDel="00000000" w:rsidP="00000000" w:rsidRDefault="00000000" w:rsidRPr="00000000" w14:paraId="00000045">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Analista de Mercadeo</w:t>
            </w:r>
          </w:p>
        </w:tc>
        <w:tc>
          <w:tcPr>
            <w:vAlign w:val="center"/>
          </w:tcPr>
          <w:p w:rsidR="00000000" w:rsidDel="00000000" w:rsidP="00000000" w:rsidRDefault="00000000" w:rsidRPr="00000000" w14:paraId="00000046">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Documento del Estudio de mercados.</w:t>
            </w:r>
          </w:p>
          <w:p w:rsidR="00000000" w:rsidDel="00000000" w:rsidP="00000000" w:rsidRDefault="00000000" w:rsidRPr="00000000" w14:paraId="00000047">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GME – F - 14</w:t>
            </w:r>
          </w:p>
        </w:tc>
      </w:tr>
      <w:tr>
        <w:trPr>
          <w:trHeight w:val="923" w:hRule="atLeast"/>
        </w:trPr>
        <w:tc>
          <w:tcPr>
            <w:vAlign w:val="center"/>
          </w:tcPr>
          <w:p w:rsidR="00000000" w:rsidDel="00000000" w:rsidP="00000000" w:rsidRDefault="00000000" w:rsidRPr="00000000" w14:paraId="00000048">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08</w:t>
            </w:r>
          </w:p>
        </w:tc>
        <w:tc>
          <w:tcPr>
            <w:vAlign w:val="center"/>
          </w:tcPr>
          <w:p w:rsidR="00000000" w:rsidDel="00000000" w:rsidP="00000000" w:rsidRDefault="00000000" w:rsidRPr="00000000" w14:paraId="00000049">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H</w:t>
            </w:r>
          </w:p>
        </w:tc>
        <w:tc>
          <w:tcPr>
            <w:vAlign w:val="center"/>
          </w:tcPr>
          <w:p w:rsidR="00000000" w:rsidDel="00000000" w:rsidP="00000000" w:rsidRDefault="00000000" w:rsidRPr="00000000" w14:paraId="0000004A">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Estructuración del documento unificado del estudio de mercado, ya sea para estudio de la competencia, estudio de percepción, estudios de satisfacción, estudios de caracterización, estudios a padres de familia, estudios de renovación de registro calificado, estudios de pertinencia</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vertAlign w:val="baseline"/>
                <w:rtl w:val="0"/>
              </w:rPr>
              <w:t xml:space="preserve">para nuevos programas académicos y análisis de tendencias de las preferencias de los prospectos, y los estudios pertinentes con las necesidades institucionales.</w:t>
            </w:r>
          </w:p>
        </w:tc>
        <w:tc>
          <w:tcPr>
            <w:vAlign w:val="center"/>
          </w:tcPr>
          <w:p w:rsidR="00000000" w:rsidDel="00000000" w:rsidP="00000000" w:rsidRDefault="00000000" w:rsidRPr="00000000" w14:paraId="0000004B">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Analista de Mercadeo.</w:t>
            </w:r>
          </w:p>
        </w:tc>
        <w:tc>
          <w:tcPr>
            <w:vAlign w:val="center"/>
          </w:tcPr>
          <w:p w:rsidR="00000000" w:rsidDel="00000000" w:rsidP="00000000" w:rsidRDefault="00000000" w:rsidRPr="00000000" w14:paraId="0000004C">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Documento del Estudio de mercados.</w:t>
            </w:r>
          </w:p>
          <w:p w:rsidR="00000000" w:rsidDel="00000000" w:rsidP="00000000" w:rsidRDefault="00000000" w:rsidRPr="00000000" w14:paraId="0000004D">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GME – F - 14</w:t>
            </w:r>
          </w:p>
        </w:tc>
      </w:tr>
      <w:tr>
        <w:trPr>
          <w:trHeight w:val="254" w:hRule="atLeast"/>
        </w:trPr>
        <w:tc>
          <w:tcPr>
            <w:vAlign w:val="center"/>
          </w:tcPr>
          <w:p w:rsidR="00000000" w:rsidDel="00000000" w:rsidP="00000000" w:rsidRDefault="00000000" w:rsidRPr="00000000" w14:paraId="0000004E">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09</w:t>
            </w:r>
          </w:p>
        </w:tc>
        <w:tc>
          <w:tcPr>
            <w:vAlign w:val="center"/>
          </w:tcPr>
          <w:p w:rsidR="00000000" w:rsidDel="00000000" w:rsidP="00000000" w:rsidRDefault="00000000" w:rsidRPr="00000000" w14:paraId="0000004F">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H V</w:t>
            </w:r>
          </w:p>
        </w:tc>
        <w:tc>
          <w:tcPr>
            <w:vAlign w:val="center"/>
          </w:tcPr>
          <w:p w:rsidR="00000000" w:rsidDel="00000000" w:rsidP="00000000" w:rsidRDefault="00000000" w:rsidRPr="00000000" w14:paraId="00000050">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Presentación del documento a la </w:t>
            </w:r>
            <w:r w:rsidDel="00000000" w:rsidR="00000000" w:rsidRPr="00000000">
              <w:rPr>
                <w:rFonts w:ascii="Century Gothic" w:cs="Century Gothic" w:eastAsia="Century Gothic" w:hAnsi="Century Gothic"/>
                <w:vertAlign w:val="baseline"/>
                <w:rtl w:val="0"/>
              </w:rPr>
              <w:t xml:space="preserve">Direc</w:t>
            </w:r>
            <w:r w:rsidDel="00000000" w:rsidR="00000000" w:rsidRPr="00000000">
              <w:rPr>
                <w:rFonts w:ascii="Century Gothic" w:cs="Century Gothic" w:eastAsia="Century Gothic" w:hAnsi="Century Gothic"/>
                <w:rtl w:val="0"/>
              </w:rPr>
              <w:t xml:space="preserve">ción de aseguramiento de la calidad, director de programa o líder de la propuesta y R</w:t>
            </w:r>
            <w:r w:rsidDel="00000000" w:rsidR="00000000" w:rsidRPr="00000000">
              <w:rPr>
                <w:rFonts w:ascii="Century Gothic" w:cs="Century Gothic" w:eastAsia="Century Gothic" w:hAnsi="Century Gothic"/>
                <w:vertAlign w:val="baseline"/>
                <w:rtl w:val="0"/>
              </w:rPr>
              <w:t xml:space="preserve">ectoría</w:t>
            </w:r>
            <w:r w:rsidDel="00000000" w:rsidR="00000000" w:rsidRPr="00000000">
              <w:rPr>
                <w:rFonts w:ascii="Century Gothic" w:cs="Century Gothic" w:eastAsia="Century Gothic" w:hAnsi="Century Gothic"/>
                <w:vertAlign w:val="baseline"/>
                <w:rtl w:val="0"/>
              </w:rPr>
              <w:t xml:space="preserve">, o área de interés, y realización de ajustes correspondientes. </w:t>
            </w:r>
          </w:p>
        </w:tc>
        <w:tc>
          <w:tcPr>
            <w:vAlign w:val="center"/>
          </w:tcPr>
          <w:p w:rsidR="00000000" w:rsidDel="00000000" w:rsidP="00000000" w:rsidRDefault="00000000" w:rsidRPr="00000000" w14:paraId="00000051">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Coordinación Mercadeo y Comunicaciones, Analista de Mercadeo</w:t>
            </w:r>
          </w:p>
          <w:p w:rsidR="00000000" w:rsidDel="00000000" w:rsidP="00000000" w:rsidRDefault="00000000" w:rsidRPr="00000000" w14:paraId="00000052">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Dirección de programa o el líder de la propuesta académica.</w:t>
            </w:r>
          </w:p>
        </w:tc>
        <w:tc>
          <w:tcPr>
            <w:vAlign w:val="center"/>
          </w:tcPr>
          <w:p w:rsidR="00000000" w:rsidDel="00000000" w:rsidP="00000000" w:rsidRDefault="00000000" w:rsidRPr="00000000" w14:paraId="00000053">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Documento del Estudio de mercados.</w:t>
            </w:r>
          </w:p>
          <w:p w:rsidR="00000000" w:rsidDel="00000000" w:rsidP="00000000" w:rsidRDefault="00000000" w:rsidRPr="00000000" w14:paraId="00000054">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GME – F – 14</w:t>
            </w:r>
          </w:p>
          <w:p w:rsidR="00000000" w:rsidDel="00000000" w:rsidP="00000000" w:rsidRDefault="00000000" w:rsidRPr="00000000" w14:paraId="00000055">
            <w:pPr>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6">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Correo electrónico</w:t>
            </w:r>
          </w:p>
          <w:p w:rsidR="00000000" w:rsidDel="00000000" w:rsidP="00000000" w:rsidRDefault="00000000" w:rsidRPr="00000000" w14:paraId="00000057">
            <w:pPr>
              <w:jc w:val="cente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58">
            <w:pPr>
              <w:jc w:val="cente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59">
            <w:pPr>
              <w:jc w:val="cente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5A">
            <w:pPr>
              <w:jc w:val="center"/>
              <w:rPr>
                <w:rFonts w:ascii="Century Gothic" w:cs="Century Gothic" w:eastAsia="Century Gothic" w:hAnsi="Century Gothic"/>
                <w:vertAlign w:val="baseline"/>
              </w:rPr>
            </w:pPr>
            <w:r w:rsidDel="00000000" w:rsidR="00000000" w:rsidRPr="00000000">
              <w:rPr>
                <w:rtl w:val="0"/>
              </w:rPr>
            </w:r>
          </w:p>
        </w:tc>
      </w:tr>
    </w:tbl>
    <w:p w:rsidR="00000000" w:rsidDel="00000000" w:rsidP="00000000" w:rsidRDefault="00000000" w:rsidRPr="00000000" w14:paraId="0000005B">
      <w:pPr>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5C">
      <w:pPr>
        <w:jc w:val="both"/>
        <w:rPr>
          <w:rFonts w:ascii="Century Gothic" w:cs="Century Gothic" w:eastAsia="Century Gothic" w:hAnsi="Century Gothic"/>
          <w:vertAlign w:val="baseline"/>
        </w:rPr>
      </w:pPr>
      <w:r w:rsidDel="00000000" w:rsidR="00000000" w:rsidRPr="00000000">
        <w:rPr>
          <w:rtl w:val="0"/>
        </w:rPr>
      </w:r>
    </w:p>
    <w:tbl>
      <w:tblPr>
        <w:tblStyle w:val="Table5"/>
        <w:tblW w:w="10035.0" w:type="dxa"/>
        <w:jc w:val="left"/>
        <w:tblInd w:w="-13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60"/>
        <w:gridCol w:w="3285"/>
        <w:gridCol w:w="1560"/>
        <w:gridCol w:w="1230"/>
        <w:tblGridChange w:id="0">
          <w:tblGrid>
            <w:gridCol w:w="3960"/>
            <w:gridCol w:w="3285"/>
            <w:gridCol w:w="1560"/>
            <w:gridCol w:w="1230"/>
          </w:tblGrid>
        </w:tblGridChange>
      </w:tblGrid>
      <w:tr>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5D">
            <w:pPr>
              <w:jc w:val="cente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Elaboró</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5E">
            <w:pPr>
              <w:jc w:val="cente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Revisó</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5F">
            <w:pPr>
              <w:jc w:val="cente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Aprobó</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60">
            <w:pPr>
              <w:jc w:val="cente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Fecha de vigencia</w:t>
            </w:r>
            <w:r w:rsidDel="00000000" w:rsidR="00000000" w:rsidRPr="00000000">
              <w:rPr>
                <w:rtl w:val="0"/>
              </w:rPr>
            </w:r>
          </w:p>
        </w:tc>
      </w:tr>
      <w:tr>
        <w:trPr>
          <w:trHeight w:val="58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1">
            <w:pPr>
              <w:jc w:val="cente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Coordinación de Mercadeo y Comunicaciones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2">
            <w:pPr>
              <w:jc w:val="cente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Dirección de Aseguramiento de Calidad</w:t>
            </w:r>
          </w:p>
          <w:p w:rsidR="00000000" w:rsidDel="00000000" w:rsidP="00000000" w:rsidRDefault="00000000" w:rsidRPr="00000000" w14:paraId="00000063">
            <w:pPr>
              <w:jc w:val="cente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Dirección de Planeación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4">
            <w:pPr>
              <w:jc w:val="cente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Rectoría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5">
            <w:pPr>
              <w:jc w:val="cente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rtl w:val="0"/>
              </w:rPr>
              <w:t xml:space="preserve">Mayo</w:t>
            </w:r>
            <w:r w:rsidDel="00000000" w:rsidR="00000000" w:rsidRPr="00000000">
              <w:rPr>
                <w:rFonts w:ascii="Century Gothic" w:cs="Century Gothic" w:eastAsia="Century Gothic" w:hAnsi="Century Gothic"/>
                <w:sz w:val="20"/>
                <w:szCs w:val="20"/>
                <w:vertAlign w:val="baseline"/>
                <w:rtl w:val="0"/>
              </w:rPr>
              <w:t xml:space="preserve"> de 2021</w:t>
            </w:r>
          </w:p>
        </w:tc>
      </w:tr>
    </w:tbl>
    <w:p w:rsidR="00000000" w:rsidDel="00000000" w:rsidP="00000000" w:rsidRDefault="00000000" w:rsidRPr="00000000" w14:paraId="00000066">
      <w:pPr>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67">
      <w:pPr>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68">
      <w:pPr>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69">
      <w:pPr>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6A">
      <w:pPr>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6B">
      <w:pPr>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6C">
      <w:pPr>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6D">
      <w:pPr>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6E">
      <w:pPr>
        <w:jc w:val="both"/>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CONTROL DE CAMBIOS</w:t>
      </w:r>
      <w:r w:rsidDel="00000000" w:rsidR="00000000" w:rsidRPr="00000000">
        <w:rPr>
          <w:rtl w:val="0"/>
        </w:rPr>
      </w:r>
    </w:p>
    <w:tbl>
      <w:tblPr>
        <w:tblStyle w:val="Table6"/>
        <w:tblW w:w="10035.0" w:type="dxa"/>
        <w:jc w:val="left"/>
        <w:tblInd w:w="-12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35"/>
        <w:gridCol w:w="8100"/>
        <w:tblGridChange w:id="0">
          <w:tblGrid>
            <w:gridCol w:w="1935"/>
            <w:gridCol w:w="8100"/>
          </w:tblGrid>
        </w:tblGridChange>
      </w:tblGrid>
      <w:tr>
        <w:trPr>
          <w:trHeight w:val="735" w:hRule="atLeast"/>
        </w:trPr>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6F">
            <w:pPr>
              <w:jc w:val="cente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ITEM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70">
            <w:pPr>
              <w:jc w:val="cente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MODIFICACIÓN</w:t>
            </w:r>
            <w:r w:rsidDel="00000000" w:rsidR="00000000" w:rsidRPr="00000000">
              <w:rPr>
                <w:rtl w:val="0"/>
              </w:rPr>
            </w:r>
          </w:p>
        </w:tc>
      </w:tr>
      <w:tr>
        <w:trPr>
          <w:trHeight w:val="64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1">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Alcance</w:t>
            </w:r>
          </w:p>
          <w:p w:rsidR="00000000" w:rsidDel="00000000" w:rsidP="00000000" w:rsidRDefault="00000000" w:rsidRPr="00000000" w14:paraId="00000072">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73">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74">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Definición</w:t>
            </w:r>
          </w:p>
          <w:p w:rsidR="00000000" w:rsidDel="00000000" w:rsidP="00000000" w:rsidRDefault="00000000" w:rsidRPr="00000000" w14:paraId="00000075">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76">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77">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78">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Acción 01</w:t>
            </w:r>
          </w:p>
          <w:p w:rsidR="00000000" w:rsidDel="00000000" w:rsidP="00000000" w:rsidRDefault="00000000" w:rsidRPr="00000000" w14:paraId="00000079">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7A">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7B">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Acción 01</w:t>
            </w:r>
          </w:p>
          <w:p w:rsidR="00000000" w:rsidDel="00000000" w:rsidP="00000000" w:rsidRDefault="00000000" w:rsidRPr="00000000" w14:paraId="0000007C">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7D">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7E">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7F">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Responsables</w:t>
            </w:r>
          </w:p>
          <w:p w:rsidR="00000000" w:rsidDel="00000000" w:rsidP="00000000" w:rsidRDefault="00000000" w:rsidRPr="00000000" w14:paraId="00000080">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81">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Versión 4</w:t>
            </w:r>
          </w:p>
          <w:p w:rsidR="00000000" w:rsidDel="00000000" w:rsidP="00000000" w:rsidRDefault="00000000" w:rsidRPr="00000000" w14:paraId="00000082">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Actividad 1</w:t>
            </w:r>
          </w:p>
          <w:p w:rsidR="00000000" w:rsidDel="00000000" w:rsidP="00000000" w:rsidRDefault="00000000" w:rsidRPr="00000000" w14:paraId="00000083">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Actividad 9</w:t>
            </w:r>
          </w:p>
          <w:p w:rsidR="00000000" w:rsidDel="00000000" w:rsidP="00000000" w:rsidRDefault="00000000" w:rsidRPr="00000000" w14:paraId="00000084">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85">
            <w:pPr>
              <w:jc w:val="both"/>
              <w:rPr>
                <w:rFonts w:ascii="Century Gothic" w:cs="Century Gothic" w:eastAsia="Century Gothic" w:hAnsi="Century Gothic"/>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6">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Se amplía el alcance del procedimiento desde la planificación del cronograma de estudios de mercado.</w:t>
            </w:r>
          </w:p>
          <w:p w:rsidR="00000000" w:rsidDel="00000000" w:rsidP="00000000" w:rsidRDefault="00000000" w:rsidRPr="00000000" w14:paraId="00000087">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Se incorpora en las definiciones los tipos de estudios de mercado, ya que se amplían a nuevas categorías por decisiones institucionales.</w:t>
            </w:r>
          </w:p>
          <w:p w:rsidR="00000000" w:rsidDel="00000000" w:rsidP="00000000" w:rsidRDefault="00000000" w:rsidRPr="00000000" w14:paraId="00000088">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Se cambia el método de verificación de Plan de gestión a Plan de Efectividad por decisiones institucionales.</w:t>
            </w:r>
          </w:p>
          <w:p w:rsidR="00000000" w:rsidDel="00000000" w:rsidP="00000000" w:rsidRDefault="00000000" w:rsidRPr="00000000" w14:paraId="00000089">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Se incorpora como responsable en el procedimiento a la Vicerrectoría Académica por incorporar en su gestión a la Unidad de Mercadeo, Ventas y Servicio</w:t>
            </w:r>
          </w:p>
          <w:p w:rsidR="00000000" w:rsidDel="00000000" w:rsidP="00000000" w:rsidRDefault="00000000" w:rsidRPr="00000000" w14:paraId="0000008A">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Cambia la denominación del responsable a “Analista de Mercadeo”</w:t>
            </w:r>
          </w:p>
          <w:p w:rsidR="00000000" w:rsidDel="00000000" w:rsidP="00000000" w:rsidRDefault="00000000" w:rsidRPr="00000000" w14:paraId="0000008B">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8C">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Cambia la denominación de la Unidad y del responsable del Proceso a Coordinador de Mercadeo y Comunicaciones teniendo en cuenta el acuerdo 73 del Consejo de Rectoría del 18 de diciembre de 2018.</w:t>
            </w:r>
          </w:p>
          <w:p w:rsidR="00000000" w:rsidDel="00000000" w:rsidP="00000000" w:rsidRDefault="00000000" w:rsidRPr="00000000" w14:paraId="0000008D">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E">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Responsable del Proceso de Mercadeo</w:t>
            </w:r>
          </w:p>
          <w:p w:rsidR="00000000" w:rsidDel="00000000" w:rsidP="00000000" w:rsidRDefault="00000000" w:rsidRPr="00000000" w14:paraId="0000008F">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0">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1">
            <w:pPr>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rtl w:val="0"/>
              </w:rPr>
              <w:t xml:space="preserve">S</w:t>
            </w:r>
            <w:r w:rsidDel="00000000" w:rsidR="00000000" w:rsidRPr="00000000">
              <w:rPr>
                <w:rFonts w:ascii="Century Gothic" w:cs="Century Gothic" w:eastAsia="Century Gothic" w:hAnsi="Century Gothic"/>
                <w:sz w:val="20"/>
                <w:szCs w:val="20"/>
                <w:rtl w:val="0"/>
              </w:rPr>
              <w:t xml:space="preserve">e elimina el Plan de Efectividad DIR –F – 10</w:t>
            </w:r>
          </w:p>
          <w:p w:rsidR="00000000" w:rsidDel="00000000" w:rsidP="00000000" w:rsidRDefault="00000000" w:rsidRPr="00000000" w14:paraId="00000092">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 agrega la Dirección de aseguramiento de la calidad, director de programa o líder de la propuesta y Rectoría para presentar el estudio de mercado.</w:t>
            </w:r>
          </w:p>
          <w:p w:rsidR="00000000" w:rsidDel="00000000" w:rsidP="00000000" w:rsidRDefault="00000000" w:rsidRPr="00000000" w14:paraId="00000093">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 elimina </w:t>
            </w:r>
            <w:r w:rsidDel="00000000" w:rsidR="00000000" w:rsidRPr="00000000">
              <w:rPr>
                <w:rFonts w:ascii="Century Gothic" w:cs="Century Gothic" w:eastAsia="Century Gothic" w:hAnsi="Century Gothic"/>
                <w:rtl w:val="0"/>
              </w:rPr>
              <w:t xml:space="preserve">Acta de reunión (SAIA)</w:t>
            </w:r>
            <w:r w:rsidDel="00000000" w:rsidR="00000000" w:rsidRPr="00000000">
              <w:rPr>
                <w:rtl w:val="0"/>
              </w:rPr>
            </w:r>
          </w:p>
        </w:tc>
      </w:tr>
    </w:tbl>
    <w:p w:rsidR="00000000" w:rsidDel="00000000" w:rsidP="00000000" w:rsidRDefault="00000000" w:rsidRPr="00000000" w14:paraId="00000094">
      <w:pPr>
        <w:jc w:val="both"/>
        <w:rPr>
          <w:rFonts w:ascii="Century Gothic" w:cs="Century Gothic" w:eastAsia="Century Gothic" w:hAnsi="Century Gothic"/>
          <w:vertAlign w:val="baseline"/>
        </w:rPr>
      </w:pPr>
      <w:r w:rsidDel="00000000" w:rsidR="00000000" w:rsidRPr="00000000">
        <w:rPr>
          <w:rtl w:val="0"/>
        </w:rPr>
      </w:r>
    </w:p>
    <w:sectPr>
      <w:headerReference r:id="rId7" w:type="default"/>
      <w:pgSz w:h="15842" w:w="12242" w:orient="portrait"/>
      <w:pgMar w:bottom="1701" w:top="2268" w:left="2268"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vertAlign w:val="baseline"/>
      </w:rPr>
    </w:pPr>
    <w:r w:rsidDel="00000000" w:rsidR="00000000" w:rsidRPr="00000000">
      <w:rPr>
        <w:rtl w:val="0"/>
      </w:rPr>
    </w:r>
  </w:p>
  <w:tbl>
    <w:tblPr>
      <w:tblStyle w:val="Table7"/>
      <w:tblW w:w="10065.0" w:type="dxa"/>
      <w:jc w:val="left"/>
      <w:tblInd w:w="-13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8"/>
      <w:gridCol w:w="4252"/>
      <w:gridCol w:w="1276"/>
      <w:gridCol w:w="1559"/>
      <w:tblGridChange w:id="0">
        <w:tblGrid>
          <w:gridCol w:w="2978"/>
          <w:gridCol w:w="4252"/>
          <w:gridCol w:w="1276"/>
          <w:gridCol w:w="1559"/>
        </w:tblGrid>
      </w:tblGridChange>
    </w:tblGrid>
    <w:tr>
      <w:trPr>
        <w:trHeight w:val="423" w:hRule="atLeast"/>
      </w:trPr>
      <w:tc>
        <w:tcPr>
          <w:vMerge w:val="restart"/>
          <w:shd w:fill="auto" w:val="clear"/>
          <w:vAlign w:val="cente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sz w:val="20"/>
              <w:szCs w:val="20"/>
            </w:rPr>
            <w:drawing>
              <wp:inline distB="114300" distT="114300" distL="114300" distR="114300">
                <wp:extent cx="1800225" cy="850900"/>
                <wp:effectExtent b="0" l="0" r="0" t="0"/>
                <wp:docPr id="102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00225" cy="850900"/>
                        </a:xfrm>
                        <a:prstGeom prst="rect"/>
                        <a:ln/>
                      </pic:spPr>
                    </pic:pic>
                  </a:graphicData>
                </a:graphic>
              </wp:inline>
            </w:drawing>
          </w:r>
          <w:r w:rsidDel="00000000" w:rsidR="00000000" w:rsidRPr="00000000">
            <w:rPr>
              <w:rtl w:val="0"/>
            </w:rPr>
          </w:r>
        </w:p>
      </w:tc>
      <w:tc>
        <w:tcPr>
          <w:shd w:fill="d9d9d9" w:val="clear"/>
          <w:vAlign w:val="center"/>
        </w:tcPr>
        <w:p w:rsidR="00000000" w:rsidDel="00000000" w:rsidP="00000000" w:rsidRDefault="00000000" w:rsidRPr="00000000" w14:paraId="00000097">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b w:val="1"/>
              <w:vertAlign w:val="baseline"/>
              <w:rtl w:val="0"/>
            </w:rPr>
            <w:t xml:space="preserve">PROCESO DE MERCADEO </w:t>
          </w:r>
          <w:r w:rsidDel="00000000" w:rsidR="00000000" w:rsidRPr="00000000">
            <w:rPr>
              <w:rtl w:val="0"/>
            </w:rPr>
          </w:r>
        </w:p>
      </w:tc>
      <w:tc>
        <w:tcPr>
          <w:vAlign w:val="cente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Código:</w:t>
          </w:r>
        </w:p>
      </w:tc>
      <w:tc>
        <w:tcPr>
          <w:vAlign w:val="cente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GME-P-3</w:t>
          </w:r>
        </w:p>
      </w:tc>
    </w:tr>
    <w:tr>
      <w:trPr>
        <w:trHeight w:val="427" w:hRule="atLeast"/>
      </w:trPr>
      <w:tc>
        <w:tcPr>
          <w:vMerge w:val="continue"/>
          <w:shd w:fill="auto" w:val="clear"/>
          <w:vAlign w:val="cente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PROCEDIMIENTO PARA LA REALIZACIÓN DE ESTUDIOS DE MERCADO.</w:t>
          </w:r>
          <w:r w:rsidDel="00000000" w:rsidR="00000000" w:rsidRPr="00000000">
            <w:rPr>
              <w:rtl w:val="0"/>
            </w:rPr>
          </w:r>
        </w:p>
      </w:tc>
      <w:tc>
        <w:tcPr>
          <w:vAlign w:val="cente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Versión:</w:t>
          </w:r>
        </w:p>
      </w:tc>
      <w:tc>
        <w:tcPr>
          <w:vAlign w:val="cente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sz w:val="24"/>
              <w:szCs w:val="24"/>
              <w:rtl w:val="0"/>
            </w:rPr>
            <w:t xml:space="preserve">4</w:t>
          </w:r>
          <w:r w:rsidDel="00000000" w:rsidR="00000000" w:rsidRPr="00000000">
            <w:rPr>
              <w:rtl w:val="0"/>
            </w:rPr>
          </w:r>
        </w:p>
      </w:tc>
    </w:tr>
    <w:tr>
      <w:trPr>
        <w:trHeight w:val="431" w:hRule="atLeast"/>
      </w:trPr>
      <w:tc>
        <w:tcPr>
          <w:vMerge w:val="continue"/>
          <w:shd w:fill="auto" w:val="clear"/>
          <w:vAlign w:val="cente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Página:</w:t>
          </w:r>
        </w:p>
      </w:tc>
      <w:tc>
        <w:tcPr>
          <w:vAlign w:val="cente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de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Verdana" w:hAnsi="Verdana"/>
      <w:w w:val="100"/>
      <w:position w:val="-1"/>
      <w:sz w:val="22"/>
      <w:effect w:val="none"/>
      <w:vertAlign w:val="baseline"/>
      <w:cs w:val="0"/>
      <w:em w:val="none"/>
      <w:lang w:bidi="ar-SA" w:eastAsia="es-ES" w:val="es-ES"/>
    </w:rPr>
  </w:style>
  <w:style w:type="paragraph" w:styleId="Título1">
    <w:name w:val="Título 1"/>
    <w:basedOn w:val="Normal"/>
    <w:next w:val="Normal"/>
    <w:autoRedefine w:val="0"/>
    <w:hidden w:val="0"/>
    <w:qFormat w:val="0"/>
    <w:pPr>
      <w:keepNext w:val="1"/>
      <w:numPr>
        <w:ilvl w:val="0"/>
        <w:numId w:val="5"/>
      </w:numPr>
      <w:suppressAutoHyphens w:val="1"/>
      <w:spacing w:line="1" w:lineRule="atLeast"/>
      <w:ind w:left="357" w:leftChars="-1" w:rightChars="0" w:hanging="357" w:firstLineChars="-1"/>
      <w:textDirection w:val="btLr"/>
      <w:textAlignment w:val="top"/>
      <w:outlineLvl w:val="0"/>
    </w:pPr>
    <w:rPr>
      <w:rFonts w:ascii="Arial" w:hAnsi="Arial"/>
      <w:b w:val="1"/>
      <w:w w:val="100"/>
      <w:position w:val="-1"/>
      <w:sz w:val="22"/>
      <w:effect w:val="none"/>
      <w:vertAlign w:val="baseline"/>
      <w:cs w:val="0"/>
      <w:em w:val="none"/>
      <w:lang w:bidi="ar-SA" w:eastAsia="es-ES" w:val="es-CO"/>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Textodeglobo">
    <w:name w:val="Texto de globo"/>
    <w:basedOn w:val="Normal"/>
    <w:next w:val="Textodeglob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s-ES" w:val="es-ES"/>
    </w:rPr>
  </w:style>
  <w:style w:type="paragraph" w:styleId="Encabezado">
    <w:name w:val="Encabezado"/>
    <w:basedOn w:val="Normal"/>
    <w:next w:val="Encabezado"/>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rFonts w:ascii="Verdana" w:hAnsi="Verdana"/>
      <w:w w:val="100"/>
      <w:position w:val="-1"/>
      <w:sz w:val="22"/>
      <w:effect w:val="none"/>
      <w:vertAlign w:val="baseline"/>
      <w:cs w:val="0"/>
      <w:em w:val="none"/>
      <w:lang w:bidi="ar-SA" w:eastAsia="es-ES" w:val="es-ES"/>
    </w:rPr>
  </w:style>
  <w:style w:type="paragraph" w:styleId="Piedepágina">
    <w:name w:val="Pie de página"/>
    <w:basedOn w:val="Normal"/>
    <w:next w:val="Piedepágina"/>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rFonts w:ascii="Verdana" w:hAnsi="Verdana"/>
      <w:w w:val="100"/>
      <w:position w:val="-1"/>
      <w:sz w:val="22"/>
      <w:effect w:val="none"/>
      <w:vertAlign w:val="baseline"/>
      <w:cs w:val="0"/>
      <w:em w:val="none"/>
      <w:lang w:bidi="ar-SA" w:eastAsia="es-ES" w:val="es-ES"/>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ítulo1Car">
    <w:name w:val="Título 1 Car"/>
    <w:next w:val="Título1Car"/>
    <w:autoRedefine w:val="0"/>
    <w:hidden w:val="0"/>
    <w:qFormat w:val="0"/>
    <w:rPr>
      <w:rFonts w:ascii="Arial" w:hAnsi="Arial"/>
      <w:b w:val="1"/>
      <w:w w:val="100"/>
      <w:position w:val="-1"/>
      <w:sz w:val="22"/>
      <w:effect w:val="none"/>
      <w:vertAlign w:val="baseline"/>
      <w:cs w:val="0"/>
      <w:em w:val="none"/>
      <w:lang w:val="es-CO"/>
    </w:rPr>
  </w:style>
  <w:style w:type="character" w:styleId="EncabezadoCar">
    <w:name w:val="Encabezado Car"/>
    <w:next w:val="EncabezadoCar"/>
    <w:autoRedefine w:val="0"/>
    <w:hidden w:val="0"/>
    <w:qFormat w:val="0"/>
    <w:rPr>
      <w:rFonts w:ascii="Verdana" w:hAnsi="Verdana"/>
      <w:w w:val="100"/>
      <w:position w:val="-1"/>
      <w:sz w:val="22"/>
      <w:effect w:val="none"/>
      <w:vertAlign w:val="baseline"/>
      <w:cs w:val="0"/>
      <w:em w:val="none"/>
      <w:lang w:eastAsia="es-E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MPwjAFZMdvXdC8ubiCnbnGUY0A==">AMUW2mVnVPluYGBSJhBeTtVljKpNHsjZfOQAny+lIsxmBxkbE6X50M3awr/7SLEQeU4jNcfbEypr7Wbp0RpGJWt89XUcthaiof8SxXtxS86LVD8J+/LoAew=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2015-06-16T15:38:00Z</dcterms:created>
  <dc:creator>AsesorCiedu</dc:creator>
</cp:coreProperties>
</file>