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5"/>
        <w:gridCol w:w="11760"/>
        <w:tblGridChange w:id="0">
          <w:tblGrid>
            <w:gridCol w:w="2235"/>
            <w:gridCol w:w="11760"/>
          </w:tblGrid>
        </w:tblGridChange>
      </w:tblGrid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OBJETIVO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3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Asesorar y apoyar a todos los procesos mediante el diseño y desarrollo de estrategias de comunicaciones tanto externas como internas, con miras a consolidar la imagen de gestión de la universidad</w:t>
            </w:r>
          </w:p>
        </w:tc>
      </w:tr>
    </w:tbl>
    <w:p w:rsidR="00000000" w:rsidDel="00000000" w:rsidP="00000000" w:rsidRDefault="00000000" w:rsidRPr="00000000" w14:paraId="00000004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9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5"/>
        <w:gridCol w:w="11760"/>
        <w:tblGridChange w:id="0">
          <w:tblGrid>
            <w:gridCol w:w="2235"/>
            <w:gridCol w:w="11760"/>
          </w:tblGrid>
        </w:tblGridChange>
      </w:tblGrid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LÍDER DE PROCESO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Coordinador de Mercadeo y Comunicaciones</w:t>
            </w:r>
          </w:p>
        </w:tc>
      </w:tr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PERSONAL QUE PARTICIPA DEL PROCESO: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Rectoría, Dirección de planeación, Dirección de Aseguramiento de calidad,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Vicerrectoría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académica,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Vicerrectoría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administrativa y financiera, Dirección de programas, coordinadores de unidades académico administrativas.</w:t>
            </w:r>
          </w:p>
        </w:tc>
      </w:tr>
    </w:tbl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93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05"/>
        <w:gridCol w:w="2765"/>
        <w:gridCol w:w="2551"/>
        <w:gridCol w:w="2764"/>
        <w:gridCol w:w="2952"/>
        <w:tblGridChange w:id="0">
          <w:tblGrid>
            <w:gridCol w:w="2905"/>
            <w:gridCol w:w="2765"/>
            <w:gridCol w:w="2551"/>
            <w:gridCol w:w="2764"/>
            <w:gridCol w:w="2952"/>
          </w:tblGrid>
        </w:tblGridChange>
      </w:tblGrid>
      <w:tr>
        <w:trPr>
          <w:trHeight w:val="397" w:hRule="atLeast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PROVEEDOR/ PROCESO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ENTRADA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ACTIVIDADES/ PROCEDIMIENTO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SALIDA / REGISTROS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CLIENTES Y PARTES INTERESADAS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46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Proceso de Direccionamiento - Proceso de Aseguramiento de la Calidad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Lineamientos a partir de las políticas institucionales de desarrollo y calidad</w:t>
            </w:r>
          </w:p>
          <w:p w:rsidR="00000000" w:rsidDel="00000000" w:rsidP="00000000" w:rsidRDefault="00000000" w:rsidRPr="00000000" w14:paraId="00000012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Elaboración de políticas, planes y proyectos de comunicación estratégica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Matriz Comunicaciones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sz w:val="22"/>
                <w:szCs w:val="22"/>
                <w:shd w:fill="6aa84f" w:val="clear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COM – F -1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sz w:val="22"/>
                <w:szCs w:val="22"/>
                <w:shd w:fill="6aa84f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Modelo de Comunicación Integrada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Unidades académico administrativas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académica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Unidades pertenecientes al mapa de procesos  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</w:tc>
      </w:tr>
      <w:tr>
        <w:trPr>
          <w:trHeight w:val="1046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Directivas Institucionales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Líderes y coordinadores de procesos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Solicitudes de líderes de procesos y de unidades.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Requerimientos institucionales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PROCEDIMIENTO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highlight w:val="white"/>
                <w:rtl w:val="0"/>
              </w:rPr>
              <w:t xml:space="preserve">DIFUSIÓN Y DIVULGACIÓN DE INFORMACIÓN INTERNA Y EXTERNA</w:t>
            </w: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 COM-P-1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Evidencias de la difusión de las campañas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Piezas de comunicación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Correos electrónicos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Comunicaciones internas y externas.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Boletín interno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Intranet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Redes Sociales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Boletín Estudiantes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Boletín graduados</w:t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Página Web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Radio UCM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Pantallas Informativas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 - F – 3 Seguimiento a Notas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 - F – 4  Tráfico actividades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académica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Aliados externos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Ciudadanía</w:t>
            </w:r>
          </w:p>
        </w:tc>
      </w:tr>
      <w:tr>
        <w:trPr>
          <w:trHeight w:val="1046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Directivas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Directores de programa</w:t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Líderes de Proceso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Coordinadores de unidades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Situación y circunstancias institucionales y de los programas académicos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PROCEDIMIENTO PARA LAS COMUNICACIONES EN CIRCUNSTANCIAS DE CRISIS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COM-P-2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Comunicados, testimonios y otros medios definidos en la reunión</w:t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Actas de reunión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académica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Aliados externos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Ciudadanía</w:t>
            </w:r>
          </w:p>
        </w:tc>
      </w:tr>
      <w:tr>
        <w:trPr>
          <w:trHeight w:val="1046" w:hRule="atLeast"/>
        </w:trPr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Unidades académico administrativas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Todos los procesos 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Aliados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Información sobre el quehacer misional y de apoyo.</w:t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Informes de gestión e indicadores.</w:t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Reportes de eventos y actividades.</w:t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Convocatorias</w:t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Procedimientos, procesos y documentación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PROCEDIMIENTO PARA ACCIONES DE DIVULGACIÓN INTERNAS O EXTERNAS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COM-P-3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Boletines</w:t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Publicaciones web</w:t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Publicaciones impresas</w:t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Eventos mediáticos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Noticias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Evidencias en canales de comunicación</w:t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 - F – 3 Seguimiento a Notas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 - F – 4  Tráfico actividades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Unidades académico-administrativas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académica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Todos los procesos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Ciudadanía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Medios de comunicación</w:t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Aliados externos </w:t>
            </w:r>
          </w:p>
        </w:tc>
      </w:tr>
    </w:tbl>
    <w:p w:rsidR="00000000" w:rsidDel="00000000" w:rsidP="00000000" w:rsidRDefault="00000000" w:rsidRPr="00000000" w14:paraId="00000057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39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98"/>
        <w:gridCol w:w="3499"/>
        <w:gridCol w:w="3499"/>
        <w:gridCol w:w="3499"/>
        <w:tblGridChange w:id="0">
          <w:tblGrid>
            <w:gridCol w:w="3498"/>
            <w:gridCol w:w="3499"/>
            <w:gridCol w:w="3499"/>
            <w:gridCol w:w="3499"/>
          </w:tblGrid>
        </w:tblGridChange>
      </w:tblGrid>
      <w:tr>
        <w:tc>
          <w:tcPr>
            <w:gridSpan w:val="4"/>
            <w:shd w:fill="d9d9d9" w:val="clear"/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REQUISITOS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CLIENTES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LEGISLACIÓN VIGENTE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LINEAMIENTOS  DE CALIDAD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ORGANIZACIÓN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9" w:hRule="atLeast"/>
        </w:trPr>
        <w:tc>
          <w:tcPr>
            <w:vAlign w:val="top"/>
          </w:tcPr>
          <w:p w:rsidR="00000000" w:rsidDel="00000000" w:rsidP="00000000" w:rsidRDefault="00000000" w:rsidRPr="00000000" w14:paraId="00000061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Ministerio de Educación Nacional.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Consejo Nacional de acreditación. 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Estudiantes UCM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Procesos y procedimientos. 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académica.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Unidades académicas y administrativas.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Personas interesadas en los productos y servicios de la UCM.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Personas interesadas en los programas académicos de la UCM.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Sector productivo y empresarial.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Proveedores de productos y servicios.</w:t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Ciudadanía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Medios de comunicación</w:t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Comunidad universitaria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Instituciones conexas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numPr>
                <w:ilvl w:val="0"/>
                <w:numId w:val="1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Decreto 1295 de 2010,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capítulo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VIII (oferta de programas con registro calificado). Artículo 19. Artículo 39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1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Decreto único 1075 de 2015. Del 26 de mayo de 2015. Artículo 2.5.3.2.10.2 (publicidad y oferta de programas).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1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Resolución 12161 del 05 de agosto de 2015. Artículo 9 (publicación en el sitio web).</w:t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1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Ley 1740 de 2014. Artículo 7 numeral 3 (verificación de la información al público).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3"/>
              </w:numPr>
              <w:ind w:left="78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Resolución 61604 del 31 de agosto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de 2015 con expediente 14-207728 de la Superintendencia de Industria y Comercio. (Registro de Marca)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3"/>
              </w:numPr>
              <w:ind w:left="780" w:hanging="360"/>
              <w:jc w:val="both"/>
              <w:rPr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Resolución 12220 del 1  Septiembre de 2016 del MEN.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3"/>
              </w:numPr>
              <w:ind w:left="780" w:hanging="360"/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Decreto 1330</w:t>
            </w: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 de 25 julio 2019 Art 2.5.3.2.11.2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3"/>
              </w:numPr>
              <w:ind w:left="780" w:hanging="360"/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Acuerdo 02 de CESU de 01 julio de 2020 Art. 20 Característica 8, Art. 48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3"/>
              </w:numPr>
              <w:ind w:left="780" w:hanging="360"/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Resolución </w:t>
            </w: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015224 del MEN 24 agosto 2020 Art 12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3"/>
              </w:numPr>
              <w:ind w:left="780" w:hanging="360"/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Resolución 21795 del MEN 19 noviembre 2020 Artículo 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Norma Técnica Colombiana NTC ISO 9001:2015</w:t>
            </w:r>
          </w:p>
          <w:p w:rsidR="00000000" w:rsidDel="00000000" w:rsidP="00000000" w:rsidRDefault="00000000" w:rsidRPr="00000000" w14:paraId="0000007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01. Generalidades literal b</w:t>
            </w:r>
          </w:p>
          <w:p w:rsidR="00000000" w:rsidDel="00000000" w:rsidP="00000000" w:rsidRDefault="00000000" w:rsidRPr="00000000" w14:paraId="0000007B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02. Principios gestión de la calidad – Enfoque al cliente</w:t>
            </w:r>
          </w:p>
          <w:p w:rsidR="00000000" w:rsidDel="00000000" w:rsidP="00000000" w:rsidRDefault="00000000" w:rsidRPr="00000000" w14:paraId="0000007C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5.1.2 Enfoque al cliente.</w:t>
            </w:r>
          </w:p>
          <w:p w:rsidR="00000000" w:rsidDel="00000000" w:rsidP="00000000" w:rsidRDefault="00000000" w:rsidRPr="00000000" w14:paraId="0000007D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7.4. Comunicación</w:t>
            </w:r>
          </w:p>
          <w:p w:rsidR="00000000" w:rsidDel="00000000" w:rsidP="00000000" w:rsidRDefault="00000000" w:rsidRPr="00000000" w14:paraId="0000007E">
            <w:pPr>
              <w:jc w:val="both"/>
              <w:rPr>
                <w:sz w:val="22"/>
                <w:szCs w:val="22"/>
                <w:highlight w:val="yellow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8.2.1. Comunicación con el cliente.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9.1.2 Satisfacción el cliente</w:t>
            </w:r>
          </w:p>
          <w:p w:rsidR="00000000" w:rsidDel="00000000" w:rsidP="00000000" w:rsidRDefault="00000000" w:rsidRPr="00000000" w14:paraId="00000080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Lineamientos para la acreditación.</w:t>
            </w:r>
          </w:p>
          <w:p w:rsidR="00000000" w:rsidDel="00000000" w:rsidP="00000000" w:rsidRDefault="00000000" w:rsidRPr="00000000" w14:paraId="00000082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1. Coherencia y Pertinencia de la Misión.</w:t>
            </w:r>
          </w:p>
          <w:p w:rsidR="00000000" w:rsidDel="00000000" w:rsidP="00000000" w:rsidRDefault="00000000" w:rsidRPr="00000000" w14:paraId="00000083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4. Deberes y derechos de los estudiantes</w:t>
            </w:r>
          </w:p>
          <w:p w:rsidR="00000000" w:rsidDel="00000000" w:rsidP="00000000" w:rsidRDefault="00000000" w:rsidRPr="00000000" w14:paraId="00000084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5. Admisión y permanencia de estudiantes.</w:t>
            </w:r>
          </w:p>
          <w:p w:rsidR="00000000" w:rsidDel="00000000" w:rsidP="00000000" w:rsidRDefault="00000000" w:rsidRPr="00000000" w14:paraId="00000085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6. Sistemas de estímulos y créditos para estudiantes</w:t>
            </w:r>
          </w:p>
          <w:p w:rsidR="00000000" w:rsidDel="00000000" w:rsidP="00000000" w:rsidRDefault="00000000" w:rsidRPr="00000000" w14:paraId="00000086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13. Pertinencia académica y relevancia social.</w:t>
            </w:r>
          </w:p>
          <w:p w:rsidR="00000000" w:rsidDel="00000000" w:rsidP="00000000" w:rsidRDefault="00000000" w:rsidRPr="00000000" w14:paraId="00000087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14. Procesos de creación, modificación y extensión de programas académicos.</w:t>
            </w:r>
          </w:p>
          <w:p w:rsidR="00000000" w:rsidDel="00000000" w:rsidP="00000000" w:rsidRDefault="00000000" w:rsidRPr="00000000" w14:paraId="00000088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15. Inserción de la institución en contextos académicos nacionales.</w:t>
            </w:r>
          </w:p>
          <w:p w:rsidR="00000000" w:rsidDel="00000000" w:rsidP="00000000" w:rsidRDefault="00000000" w:rsidRPr="00000000" w14:paraId="00000089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19. Institución y entorno.</w:t>
            </w:r>
          </w:p>
          <w:p w:rsidR="00000000" w:rsidDel="00000000" w:rsidP="00000000" w:rsidRDefault="00000000" w:rsidRPr="00000000" w14:paraId="0000008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21. Sistemas de autoevaluación.</w:t>
            </w:r>
          </w:p>
          <w:p w:rsidR="00000000" w:rsidDel="00000000" w:rsidP="00000000" w:rsidRDefault="00000000" w:rsidRPr="00000000" w14:paraId="0000008B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22. Sistemas de Información.</w:t>
            </w:r>
          </w:p>
          <w:p w:rsidR="00000000" w:rsidDel="00000000" w:rsidP="00000000" w:rsidRDefault="00000000" w:rsidRPr="00000000" w14:paraId="0000008C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26. Procesos de Comunicación.</w:t>
            </w:r>
          </w:p>
          <w:p w:rsidR="00000000" w:rsidDel="00000000" w:rsidP="00000000" w:rsidRDefault="00000000" w:rsidRPr="00000000" w14:paraId="0000008D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27. Capacidad de gestión.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E">
            <w:pPr>
              <w:numPr>
                <w:ilvl w:val="0"/>
                <w:numId w:val="2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Plan de desarrollo institucional 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2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Sistema integrado de Gestión 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2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Acuerdo 008 del Consejo Superior del 24 de noviembre (Estructura académico administrativa de la UCM).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2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Acuerdo 014 Consejo de Rectoría del 28 de Noviembre de 2012 (Manual de identidad Corporativa)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2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Manual de funciones institucional de la UCM (Coordinación de Mercadeo y comunicaciones).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2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Evaluación del desempeño.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2"/>
              </w:numPr>
              <w:ind w:left="720" w:hanging="36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Política Integral de calidad.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2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Acuerdo 025 del 0222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2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Políticas institucionales UCM</w:t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2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Código de ética y buen gobierno UCM</w:t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2"/>
              </w:numPr>
              <w:ind w:left="720" w:hanging="36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Estatuto general UCM</w:t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2"/>
              </w:numPr>
              <w:ind w:left="720" w:hanging="360"/>
              <w:rPr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Reglamento Interno de Trabajo UCM</w:t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2"/>
              </w:numPr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Acuerdo 73 del Consejo de Rectoría del 18 de diciembre de 2018 a “Coordinador de Mercadeo y Comunicaciones.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2"/>
              </w:numPr>
              <w:ind w:left="720" w:hanging="360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Modelo de Comunicación Integrada Acuerdo 059 11 Noviembre de 2020</w:t>
            </w:r>
          </w:p>
        </w:tc>
      </w:tr>
    </w:tbl>
    <w:p w:rsidR="00000000" w:rsidDel="00000000" w:rsidP="00000000" w:rsidRDefault="00000000" w:rsidRPr="00000000" w14:paraId="0000009C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Parámetros de control:</w:t>
      </w:r>
      <w:r w:rsidDel="00000000" w:rsidR="00000000" w:rsidRPr="00000000">
        <w:rPr>
          <w:sz w:val="22"/>
          <w:szCs w:val="22"/>
          <w:vertAlign w:val="baseline"/>
          <w:rtl w:val="0"/>
        </w:rPr>
        <w:br w:type="textWrapping"/>
        <w:t xml:space="preserve">Efectividad – Oportunidad – Pertinencia – Cobertura – Coherencia – Confiabilidad - Veracidad</w:t>
      </w:r>
    </w:p>
    <w:p w:rsidR="00000000" w:rsidDel="00000000" w:rsidP="00000000" w:rsidRDefault="00000000" w:rsidRPr="00000000" w14:paraId="0000009E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87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27"/>
        <w:gridCol w:w="3402"/>
        <w:gridCol w:w="1843"/>
        <w:gridCol w:w="3402"/>
        <w:tblGridChange w:id="0">
          <w:tblGrid>
            <w:gridCol w:w="3227"/>
            <w:gridCol w:w="3402"/>
            <w:gridCol w:w="1843"/>
            <w:gridCol w:w="340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9F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Elaboró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A0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Revisó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A1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Aprobó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A2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Fecha de vigencia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3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Coordinación de Comunicaciones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4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Dirección Aseguramiento de la Calidad </w:t>
            </w:r>
          </w:p>
          <w:p w:rsidR="00000000" w:rsidDel="00000000" w:rsidP="00000000" w:rsidRDefault="00000000" w:rsidRPr="00000000" w14:paraId="000000A5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Dirección de Planeación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6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Rectoría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8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Enero de 2019</w:t>
            </w:r>
          </w:p>
        </w:tc>
      </w:tr>
    </w:tbl>
    <w:p w:rsidR="00000000" w:rsidDel="00000000" w:rsidP="00000000" w:rsidRDefault="00000000" w:rsidRPr="00000000" w14:paraId="000000AA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both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                    CONTROL DE CAMBIOS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86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10"/>
        <w:gridCol w:w="9356"/>
        <w:tblGridChange w:id="0">
          <w:tblGrid>
            <w:gridCol w:w="3510"/>
            <w:gridCol w:w="9356"/>
          </w:tblGrid>
        </w:tblGridChange>
      </w:tblGrid>
      <w:t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B2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B3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MODIFICACIÓN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3" w:hRule="atLeast"/>
        </w:trPr>
        <w:tc>
          <w:tcPr>
            <w:vAlign w:val="top"/>
          </w:tcPr>
          <w:p w:rsidR="00000000" w:rsidDel="00000000" w:rsidP="00000000" w:rsidRDefault="00000000" w:rsidRPr="00000000" w14:paraId="000000B4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Actividades / Procedimientos</w:t>
            </w:r>
          </w:p>
          <w:p w:rsidR="00000000" w:rsidDel="00000000" w:rsidP="00000000" w:rsidRDefault="00000000" w:rsidRPr="00000000" w14:paraId="000000B5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Salidas/ registros</w:t>
            </w:r>
          </w:p>
          <w:p w:rsidR="00000000" w:rsidDel="00000000" w:rsidP="00000000" w:rsidRDefault="00000000" w:rsidRPr="00000000" w14:paraId="000000B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Clientes / Partes interesadas</w:t>
            </w:r>
          </w:p>
          <w:p w:rsidR="00000000" w:rsidDel="00000000" w:rsidP="00000000" w:rsidRDefault="00000000" w:rsidRPr="00000000" w14:paraId="000000BD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Manuales</w:t>
            </w:r>
          </w:p>
          <w:p w:rsidR="00000000" w:rsidDel="00000000" w:rsidP="00000000" w:rsidRDefault="00000000" w:rsidRPr="00000000" w14:paraId="000000C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Requisitos</w:t>
            </w:r>
          </w:p>
          <w:p w:rsidR="00000000" w:rsidDel="00000000" w:rsidP="00000000" w:rsidRDefault="00000000" w:rsidRPr="00000000" w14:paraId="000000C6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Formatos</w:t>
            </w:r>
          </w:p>
          <w:p w:rsidR="00000000" w:rsidDel="00000000" w:rsidP="00000000" w:rsidRDefault="00000000" w:rsidRPr="00000000" w14:paraId="000000CB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Versión 3</w:t>
            </w:r>
          </w:p>
          <w:p w:rsidR="00000000" w:rsidDel="00000000" w:rsidP="00000000" w:rsidRDefault="00000000" w:rsidRPr="00000000" w14:paraId="000000CF">
            <w:pPr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En la elaboración de actividades </w:t>
            </w:r>
          </w:p>
          <w:p w:rsidR="00000000" w:rsidDel="00000000" w:rsidP="00000000" w:rsidRDefault="00000000" w:rsidRPr="00000000" w14:paraId="000000D0">
            <w:pPr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COM-P-1</w:t>
            </w:r>
          </w:p>
          <w:p w:rsidR="00000000" w:rsidDel="00000000" w:rsidP="00000000" w:rsidRDefault="00000000" w:rsidRPr="00000000" w14:paraId="000000D2">
            <w:pPr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Requisitos</w:t>
            </w:r>
          </w:p>
          <w:p w:rsidR="00000000" w:rsidDel="00000000" w:rsidP="00000000" w:rsidRDefault="00000000" w:rsidRPr="00000000" w14:paraId="000000D7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incorporan los demás procedimientos para fortalecer el proceso de comunicaciones.</w:t>
            </w:r>
          </w:p>
          <w:p w:rsidR="00000000" w:rsidDel="00000000" w:rsidP="00000000" w:rsidRDefault="00000000" w:rsidRPr="00000000" w14:paraId="000000D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evidencia y actualizan los canales de comunicación internas y externas de acuerdo con las tendencias del sector.</w:t>
            </w:r>
          </w:p>
          <w:p w:rsidR="00000000" w:rsidDel="00000000" w:rsidP="00000000" w:rsidRDefault="00000000" w:rsidRPr="00000000" w14:paraId="000000DD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actualizan las partes y/o personas interesadas teniendo en cuenta los procedimientos incorporados.</w:t>
            </w:r>
          </w:p>
          <w:p w:rsidR="00000000" w:rsidDel="00000000" w:rsidP="00000000" w:rsidRDefault="00000000" w:rsidRPr="00000000" w14:paraId="000000E0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agrega al proceso de comunicaciones el Manual de Estilo para definir lineamientos relacionados con el Proceso de Comunicaciones, con el código COM – M - 1</w:t>
            </w:r>
          </w:p>
          <w:p w:rsidR="00000000" w:rsidDel="00000000" w:rsidP="00000000" w:rsidRDefault="00000000" w:rsidRPr="00000000" w14:paraId="000000E3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agrega en la normativa institucional el nuevo Acuerdo 73 del Consejo de Rectoría del 18 de diciembre de 2018.</w:t>
            </w:r>
          </w:p>
          <w:p w:rsidR="00000000" w:rsidDel="00000000" w:rsidP="00000000" w:rsidRDefault="00000000" w:rsidRPr="00000000" w14:paraId="000000E6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incorpora el Plan de Comunicación Integrada. </w:t>
            </w:r>
          </w:p>
          <w:p w:rsidR="00000000" w:rsidDel="00000000" w:rsidP="00000000" w:rsidRDefault="00000000" w:rsidRPr="00000000" w14:paraId="000000E8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elimina el formato Previsiones Informativas COM – F – 2</w:t>
            </w:r>
          </w:p>
          <w:p w:rsidR="00000000" w:rsidDel="00000000" w:rsidP="00000000" w:rsidRDefault="00000000" w:rsidRPr="00000000" w14:paraId="000000EA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Se crea el formato COM – F – 4 Tráfico de actividades</w:t>
            </w:r>
          </w:p>
          <w:p w:rsidR="00000000" w:rsidDel="00000000" w:rsidP="00000000" w:rsidRDefault="00000000" w:rsidRPr="00000000" w14:paraId="000000EC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 elimina la Política de comunicación integrada, los Planes de comunicación, Proyectos de Comunicación y se integra al Modelo de Comunicación Integrada</w:t>
            </w:r>
          </w:p>
          <w:p w:rsidR="00000000" w:rsidDel="00000000" w:rsidP="00000000" w:rsidRDefault="00000000" w:rsidRPr="00000000" w14:paraId="000000EF">
            <w:pPr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 cambia a la denominación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Difusión y divulgación de información Interna y Externa al integrala con el COM-P-3 para garantizar una integralidad de las metodologías en la difusión y divulgación en el marco del Modelo de Comunicación integrada.</w:t>
            </w:r>
          </w:p>
          <w:p w:rsidR="00000000" w:rsidDel="00000000" w:rsidP="00000000" w:rsidRDefault="00000000" w:rsidRPr="00000000" w14:paraId="000000F1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 la legislación vigente se agregan:</w:t>
            </w:r>
          </w:p>
          <w:p w:rsidR="00000000" w:rsidDel="00000000" w:rsidP="00000000" w:rsidRDefault="00000000" w:rsidRPr="00000000" w14:paraId="000000F3">
            <w:pPr>
              <w:numPr>
                <w:ilvl w:val="0"/>
                <w:numId w:val="3"/>
              </w:numPr>
              <w:ind w:left="780" w:hanging="360"/>
              <w:jc w:val="both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Decreto 1330 de 25 julio 2019 Art 2.5.3.2.11.2</w:t>
            </w:r>
          </w:p>
          <w:p w:rsidR="00000000" w:rsidDel="00000000" w:rsidP="00000000" w:rsidRDefault="00000000" w:rsidRPr="00000000" w14:paraId="000000F4">
            <w:pPr>
              <w:numPr>
                <w:ilvl w:val="0"/>
                <w:numId w:val="3"/>
              </w:numPr>
              <w:ind w:left="780" w:hanging="360"/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Acuerdo 02 de CESU de 01 julio de 2020 Art. 20 Característica 8, Art. 48</w:t>
            </w:r>
          </w:p>
          <w:p w:rsidR="00000000" w:rsidDel="00000000" w:rsidP="00000000" w:rsidRDefault="00000000" w:rsidRPr="00000000" w14:paraId="000000F5">
            <w:pPr>
              <w:numPr>
                <w:ilvl w:val="0"/>
                <w:numId w:val="3"/>
              </w:numPr>
              <w:ind w:left="780" w:hanging="360"/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Resolución 015224 del MEN 24 agosto 2020 Art 12</w:t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3"/>
              </w:numPr>
              <w:ind w:left="780" w:hanging="360"/>
              <w:jc w:val="both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Resolución 21795 del MEN 19 noviembre 2020 Artículo 56 </w:t>
            </w:r>
          </w:p>
          <w:p w:rsidR="00000000" w:rsidDel="00000000" w:rsidP="00000000" w:rsidRDefault="00000000" w:rsidRPr="00000000" w14:paraId="000000F7">
            <w:pPr>
              <w:ind w:left="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para ser coherente con las nuevas normativas gubernamentales</w:t>
            </w:r>
          </w:p>
          <w:p w:rsidR="00000000" w:rsidDel="00000000" w:rsidP="00000000" w:rsidRDefault="00000000" w:rsidRPr="00000000" w14:paraId="000000F8">
            <w:pPr>
              <w:ind w:left="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 los requisitos de la organización se elimina el Plan de efectividad Mercadeo y comunicaciones.</w:t>
            </w:r>
          </w:p>
          <w:p w:rsidR="00000000" w:rsidDel="00000000" w:rsidP="00000000" w:rsidRDefault="00000000" w:rsidRPr="00000000" w14:paraId="000000FA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 elimina la Política de Comunicación Integrada y se agrega el Modelo de Comunicación Integrada teniendo en cuenta el Acuerdo 059 11 Noviembre de 2020</w:t>
            </w:r>
          </w:p>
        </w:tc>
      </w:tr>
    </w:tbl>
    <w:p w:rsidR="00000000" w:rsidDel="00000000" w:rsidP="00000000" w:rsidRDefault="00000000" w:rsidRPr="00000000" w14:paraId="000000FB">
      <w:pPr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sz w:val="22"/>
          <w:szCs w:val="22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2240" w:w="15840" w:orient="landscape"/>
      <w:pgMar w:bottom="851" w:top="851" w:left="851" w:right="1134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8"/>
      <w:tblW w:w="10678.0" w:type="dxa"/>
      <w:jc w:val="left"/>
      <w:tblInd w:w="0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4" w:val="single"/>
        <w:insideV w:color="000000" w:space="0" w:sz="0" w:val="nil"/>
      </w:tblBorders>
      <w:tblLayout w:type="fixed"/>
      <w:tblLook w:val="0000"/>
    </w:tblPr>
    <w:tblGrid>
      <w:gridCol w:w="3559"/>
      <w:gridCol w:w="3559"/>
      <w:gridCol w:w="3560"/>
      <w:tblGridChange w:id="0">
        <w:tblGrid>
          <w:gridCol w:w="3559"/>
          <w:gridCol w:w="3559"/>
          <w:gridCol w:w="3560"/>
        </w:tblGrid>
      </w:tblGridChange>
    </w:tblGrid>
    <w:tr>
      <w:tc>
        <w:tcPr>
          <w:vAlign w:val="top"/>
        </w:tcPr>
        <w:p w:rsidR="00000000" w:rsidDel="00000000" w:rsidP="00000000" w:rsidRDefault="00000000" w:rsidRPr="00000000" w14:paraId="0000010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10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11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sz w:val="22"/>
        <w:szCs w:val="22"/>
        <w:vertAlign w:val="baseline"/>
      </w:rPr>
    </w:pPr>
    <w:r w:rsidDel="00000000" w:rsidR="00000000" w:rsidRPr="00000000">
      <w:rPr>
        <w:rtl w:val="0"/>
      </w:rPr>
    </w:r>
  </w:p>
  <w:tbl>
    <w:tblPr>
      <w:tblStyle w:val="Table7"/>
      <w:tblW w:w="13939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618"/>
      <w:gridCol w:w="8122"/>
      <w:gridCol w:w="1559"/>
      <w:gridCol w:w="1640"/>
      <w:tblGridChange w:id="0">
        <w:tblGrid>
          <w:gridCol w:w="2618"/>
          <w:gridCol w:w="8122"/>
          <w:gridCol w:w="1559"/>
          <w:gridCol w:w="1640"/>
        </w:tblGrid>
      </w:tblGridChange>
    </w:tblGrid>
    <w:tr>
      <w:trPr>
        <w:trHeight w:val="367" w:hRule="atLeast"/>
      </w:trPr>
      <w:tc>
        <w:tcPr>
          <w:vMerge w:val="restart"/>
          <w:vAlign w:val="center"/>
        </w:tcPr>
        <w:p w:rsidR="00000000" w:rsidDel="00000000" w:rsidP="00000000" w:rsidRDefault="00000000" w:rsidRPr="00000000" w14:paraId="000001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533525" cy="723900"/>
                <wp:effectExtent b="0" l="0" r="0" t="0"/>
                <wp:docPr id="1026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10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CARACTERIZACIÓN PROCESO DE COMUNICACIONES 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0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Código</w:t>
          </w:r>
        </w:p>
      </w:tc>
      <w:tc>
        <w:tcPr>
          <w:vAlign w:val="center"/>
        </w:tcPr>
        <w:p w:rsidR="00000000" w:rsidDel="00000000" w:rsidP="00000000" w:rsidRDefault="00000000" w:rsidRPr="00000000" w14:paraId="0000010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COM  - C - 1</w:t>
          </w:r>
        </w:p>
      </w:tc>
    </w:tr>
    <w:tr>
      <w:trPr>
        <w:trHeight w:val="367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04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105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0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Versión</w:t>
          </w:r>
        </w:p>
      </w:tc>
      <w:tc>
        <w:tcPr>
          <w:vAlign w:val="center"/>
        </w:tcPr>
        <w:p w:rsidR="00000000" w:rsidDel="00000000" w:rsidP="00000000" w:rsidRDefault="00000000" w:rsidRPr="00000000" w14:paraId="0000010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3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367" w:hRule="atLeast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08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109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0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Página</w:t>
          </w:r>
        </w:p>
      </w:tc>
      <w:tc>
        <w:tcPr>
          <w:vAlign w:val="center"/>
        </w:tcPr>
        <w:p w:rsidR="00000000" w:rsidDel="00000000" w:rsidP="00000000" w:rsidRDefault="00000000" w:rsidRPr="00000000" w14:paraId="0000010B">
          <w:pPr>
            <w:jc w:val="center"/>
            <w:rPr>
              <w:sz w:val="22"/>
              <w:szCs w:val="22"/>
              <w:vertAlign w:val="baseline"/>
            </w:rPr>
          </w:pPr>
          <w:r w:rsidDel="00000000" w:rsidR="00000000" w:rsidRPr="00000000">
            <w:rPr>
              <w:b w:val="1"/>
              <w:sz w:val="22"/>
              <w:szCs w:val="22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sz w:val="22"/>
              <w:szCs w:val="22"/>
              <w:vertAlign w:val="baseline"/>
              <w:rtl w:val="0"/>
            </w:rPr>
            <w:t xml:space="preserve"> de </w:t>
          </w:r>
          <w:r w:rsidDel="00000000" w:rsidR="00000000" w:rsidRPr="00000000">
            <w:rPr>
              <w:b w:val="1"/>
              <w:sz w:val="22"/>
              <w:szCs w:val="22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Century Gothic" w:hAnsi="Century Gothic"/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s-ES" w:val="es-MX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Century Gothic" w:hAnsi="Century Gothic"/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s-ES" w:val="es-MX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2"/>
    </w:pPr>
    <w:rPr>
      <w:rFonts w:ascii="Century Gothic" w:hAnsi="Century Gothic"/>
      <w:b w:val="1"/>
      <w:bCs w:val="1"/>
      <w:w w:val="100"/>
      <w:position w:val="-1"/>
      <w:sz w:val="40"/>
      <w:effect w:val="none"/>
      <w:vertAlign w:val="baseline"/>
      <w:cs w:val="0"/>
      <w:em w:val="none"/>
      <w:lang w:bidi="ar-SA" w:eastAsia="es-ES" w:val="es-MX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3"/>
    </w:pPr>
    <w:rPr>
      <w:rFonts w:ascii="Century Gothic" w:hAnsi="Century Gothic"/>
      <w:b w:val="1"/>
      <w:bCs w:val="1"/>
      <w:w w:val="100"/>
      <w:position w:val="-1"/>
      <w:sz w:val="20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4"/>
    </w:pPr>
    <w:rPr>
      <w:rFonts w:ascii="Century Gothic" w:hAnsi="Century Gothic"/>
      <w:b w:val="1"/>
      <w:bCs w:val="1"/>
      <w:w w:val="100"/>
      <w:position w:val="-1"/>
      <w:sz w:val="18"/>
      <w:effect w:val="none"/>
      <w:vertAlign w:val="baseline"/>
      <w:cs w:val="0"/>
      <w:em w:val="none"/>
      <w:lang w:bidi="ar-SA" w:eastAsia="es-ES" w:val="es-ES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5"/>
    </w:pPr>
    <w:rPr>
      <w:rFonts w:ascii="Century Gothic" w:hAnsi="Century Gothic"/>
      <w:b w:val="1"/>
      <w:bCs w:val="1"/>
      <w:w w:val="100"/>
      <w:position w:val="-1"/>
      <w:sz w:val="18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6"/>
    </w:pPr>
    <w:rPr>
      <w:rFonts w:ascii="Century Gothic" w:hAnsi="Century Gothic"/>
      <w:b w:val="1"/>
      <w:bCs w:val="1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paragraph" w:styleId="Título8">
    <w:name w:val="Título 8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7"/>
    </w:pPr>
    <w:rPr>
      <w:rFonts w:ascii="Century Gothic" w:hAnsi="Century Gothic"/>
      <w:b w:val="1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paragraph" w:styleId="Título9">
    <w:name w:val="Título 9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8"/>
    </w:pPr>
    <w:rPr>
      <w:rFonts w:ascii="Century Gothic" w:hAnsi="Century Gothic"/>
      <w:b w:val="1"/>
      <w:bCs w:val="1"/>
      <w:w w:val="100"/>
      <w:position w:val="-1"/>
      <w:sz w:val="20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angríadetextonormal">
    <w:name w:val="Sangría de texto normal"/>
    <w:basedOn w:val="Normal"/>
    <w:next w:val="Sangríadetextonormal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Century Gothic" w:hAnsi="Century Gothic"/>
      <w:noProof w:val="0"/>
      <w:w w:val="100"/>
      <w:position w:val="-1"/>
      <w:sz w:val="24"/>
      <w:effect w:val="none"/>
      <w:vertAlign w:val="baseline"/>
      <w:cs w:val="0"/>
      <w:em w:val="none"/>
      <w:lang w:bidi="ar-SA" w:eastAsia="es-ES" w:val="es-MX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Century Gothic" w:hAnsi="Century Gothic"/>
      <w:noProof w:val="0"/>
      <w:w w:val="100"/>
      <w:position w:val="-1"/>
      <w:sz w:val="24"/>
      <w:effect w:val="none"/>
      <w:vertAlign w:val="baseline"/>
      <w:cs w:val="0"/>
      <w:em w:val="none"/>
      <w:lang w:bidi="ar-SA" w:eastAsia="es-ES" w:val="es-MX"/>
    </w:rPr>
  </w:style>
  <w:style w:type="paragraph" w:styleId="Textosinformato">
    <w:name w:val="Texto sin formato"/>
    <w:basedOn w:val="Normal"/>
    <w:next w:val="Textosinforma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 w:bidi="ar-SA" w:eastAsia="es-ES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character" w:styleId="Númerodepágina">
    <w:name w:val="Número de página"/>
    <w:basedOn w:val="Fuentedepárrafopredeter.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angría2det.independiente">
    <w:name w:val="Sangría 2 de t. independiente"/>
    <w:basedOn w:val="Normal"/>
    <w:next w:val="Sangría2det.independiente"/>
    <w:autoRedefine w:val="0"/>
    <w:hidden w:val="0"/>
    <w:qFormat w:val="0"/>
    <w:pPr>
      <w:suppressAutoHyphens w:val="1"/>
      <w:spacing w:line="1" w:lineRule="atLeast"/>
      <w:ind w:left="426" w:leftChars="-1" w:rightChars="0" w:firstLineChars="-1"/>
      <w:jc w:val="both"/>
      <w:textDirection w:val="btLr"/>
      <w:textAlignment w:val="top"/>
      <w:outlineLvl w:val="0"/>
    </w:pPr>
    <w:rPr>
      <w:rFonts w:ascii="Century Gothic" w:hAnsi="Century Gothic"/>
      <w:noProof w:val="0"/>
      <w:w w:val="100"/>
      <w:position w:val="-1"/>
      <w:sz w:val="24"/>
      <w:effect w:val="none"/>
      <w:vertAlign w:val="baseline"/>
      <w:cs w:val="0"/>
      <w:em w:val="none"/>
      <w:lang w:bidi="ar-SA" w:eastAsia="es-ES" w:val="es-MX"/>
    </w:rPr>
  </w:style>
  <w:style w:type="paragraph" w:styleId="Título">
    <w:name w:val="Título"/>
    <w:basedOn w:val="Normal"/>
    <w:next w:val="Títul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Century Gothic" w:hAnsi="Century Gothic"/>
      <w:b w:val="1"/>
      <w:bCs w:val="1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character" w:styleId="CMGL627">
    <w:name w:val="CMGL627"/>
    <w:next w:val="CMGL627"/>
    <w:autoRedefine w:val="0"/>
    <w:hidden w:val="0"/>
    <w:qFormat w:val="0"/>
    <w:rPr>
      <w:rFonts w:ascii="Arial" w:cs="Arial" w:hAnsi="Arial"/>
      <w:color w:val="auto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character" w:styleId="EncabezadoCar">
    <w:name w:val="Encabezado Car"/>
    <w:next w:val="EncabezadoCar"/>
    <w:autoRedefine w:val="0"/>
    <w:hidden w:val="0"/>
    <w:qFormat w:val="0"/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JgXssLP1SYGuYGlFDRVgwMfEZg==">AMUW2mX+WtchRp8LRToqBKnRLqHbYO84cbpQzgCNA+gQJEazK497mRqSz+9cLeGK9DxtYSISyxiBjq5QbxyRC5iKB95jhVqGLZAlUO0dCwmto5IsPmmXfAWWd0LozqxmYztzObJXLnml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2019-02-28T22:28:00Z</dcterms:created>
  <dc:creator>CURTIMBRES ITAGUI</dc:creator>
</cp:coreProperties>
</file>